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160" w:after="60"/>
        <w:rPr/>
      </w:pPr>
      <w:r>
        <w:rPr/>
        <w:t xml:space="preserve">Рождение </w:t>
      </w:r>
      <w:r>
        <w:rPr>
          <w:rStyle w:val="Strong"/>
          <w:b/>
          <w:lang w:val="en-US"/>
        </w:rPr>
        <w:t xml:space="preserve">псевдоскалярного сголдстино в протонных столкновениях </w:t>
      </w:r>
    </w:p>
    <w:p>
      <w:pPr>
        <w:pStyle w:val="Authors"/>
        <w:rPr/>
      </w:pPr>
      <w:r>
        <w:rPr>
          <w:rStyle w:val="Strong"/>
          <w:b/>
          <w:lang w:val="en-US"/>
        </w:rPr>
        <w:t>Парамонова М.А.</w:t>
      </w:r>
      <w:r>
        <w:rPr>
          <w:rStyle w:val="Strong"/>
          <w:b/>
          <w:vertAlign w:val="superscript"/>
          <w:lang w:val="en-US"/>
        </w:rPr>
        <w:t>1</w:t>
      </w:r>
      <w:r>
        <w:rPr>
          <w:rStyle w:val="Strong"/>
          <w:b/>
          <w:position w:val="0"/>
          <w:sz w:val="22"/>
          <w:vertAlign w:val="baseline"/>
          <w:lang w:val="en-US"/>
        </w:rPr>
        <w:t>, Демидов С.В.</w:t>
      </w:r>
      <w:r>
        <w:rPr>
          <w:rStyle w:val="Strong"/>
          <w:b/>
          <w:vertAlign w:val="superscript"/>
          <w:lang w:val="en-US"/>
        </w:rPr>
        <w:t>2</w:t>
      </w:r>
    </w:p>
    <w:p>
      <w:pPr>
        <w:pStyle w:val="Organization"/>
        <w:rPr/>
      </w:pPr>
      <w:r>
        <w:rPr>
          <w:rStyle w:val="Strong"/>
          <w:b/>
          <w:i/>
          <w:iCs/>
          <w:vertAlign w:val="superscript"/>
          <w:lang w:val="en-US"/>
        </w:rPr>
        <w:t>1</w:t>
      </w:r>
      <w:r>
        <w:rPr>
          <w:rStyle w:val="Strong"/>
          <w:b w:val="false"/>
          <w:bCs w:val="false"/>
          <w:i/>
          <w:iCs/>
          <w:position w:val="0"/>
          <w:sz w:val="20"/>
          <w:vertAlign w:val="baseline"/>
          <w:lang w:val="en-US"/>
        </w:rPr>
        <w:t xml:space="preserve">Студент, </w:t>
      </w:r>
      <w:r>
        <w:rPr>
          <w:rStyle w:val="Strong"/>
          <w:b w:val="false"/>
          <w:bCs w:val="false"/>
          <w:i/>
          <w:iCs/>
          <w:vertAlign w:val="superscript"/>
          <w:lang w:val="en-US"/>
        </w:rPr>
        <w:t>2</w:t>
      </w:r>
      <w:r>
        <w:rPr>
          <w:rStyle w:val="Strong"/>
          <w:b w:val="false"/>
          <w:bCs w:val="false"/>
          <w:i/>
          <w:iCs/>
          <w:position w:val="0"/>
          <w:sz w:val="20"/>
          <w:vertAlign w:val="baseline"/>
          <w:lang w:val="en-US"/>
        </w:rPr>
        <w:t>старший научный сотрудник</w:t>
      </w:r>
    </w:p>
    <w:p>
      <w:pPr>
        <w:pStyle w:val="Organization"/>
        <w:rPr/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Филиал Московского государственного университета имени М.В. Ломоносова в городе Сарове, г.Саров, </w:t>
      </w:r>
      <w:r>
        <w:rPr>
          <w:i/>
          <w:iCs/>
          <w:position w:val="0"/>
          <w:sz w:val="20"/>
          <w:vertAlign w:val="baseline"/>
        </w:rPr>
        <w:t>Россия</w:t>
      </w:r>
      <w:r>
        <w:rPr>
          <w:rStyle w:val="Strong"/>
          <w:b w:val="false"/>
          <w:bCs w:val="false"/>
          <w:i/>
          <w:iCs/>
          <w:caps w:val="false"/>
          <w:smallCaps w:val="false"/>
          <w:color w:val="000000"/>
          <w:spacing w:val="0"/>
          <w:position w:val="0"/>
          <w:sz w:val="20"/>
          <w:szCs w:val="20"/>
          <w:vertAlign w:val="baseline"/>
          <w:lang w:val="en-US"/>
        </w:rPr>
        <w:t xml:space="preserve">, </w:t>
      </w:r>
      <w:r>
        <w:rPr>
          <w:rStyle w:val="Strong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vertAlign w:val="superscript"/>
          <w:lang w:val="en-US"/>
        </w:rPr>
        <w:t>2</w:t>
      </w:r>
      <w:r>
        <w:rPr>
          <w:rStyle w:val="Strong"/>
          <w:b w:val="false"/>
          <w:bCs w:val="false"/>
          <w:i/>
          <w:iCs/>
          <w:caps w:val="false"/>
          <w:smallCaps w:val="false"/>
          <w:color w:val="000000"/>
          <w:spacing w:val="0"/>
          <w:position w:val="0"/>
          <w:sz w:val="20"/>
          <w:szCs w:val="20"/>
          <w:vertAlign w:val="baseline"/>
          <w:lang w:val="en-US"/>
        </w:rPr>
        <w:t>Институт ядерных исследований РАН, Москва, Россия</w:t>
      </w:r>
    </w:p>
    <w:p>
      <w:pPr>
        <w:pStyle w:val="Organization"/>
        <w:rPr/>
      </w:pPr>
      <w:hyperlink r:id="rId2">
        <w:r>
          <w:rPr>
            <w:rStyle w:val="Hyperlink"/>
            <w:b w:val="false"/>
            <w:bCs w:val="false"/>
            <w:i/>
            <w:iCs/>
            <w:caps w:val="false"/>
            <w:smallCaps w:val="false"/>
            <w:color w:val="000000"/>
            <w:spacing w:val="0"/>
            <w:sz w:val="20"/>
            <w:szCs w:val="20"/>
            <w:vertAlign w:val="superscript"/>
            <w:lang w:val="en-US"/>
          </w:rPr>
          <w:t>1</w:t>
        </w:r>
        <w:r>
          <w:rPr>
            <w:rStyle w:val="Hyperlink"/>
            <w:b w:val="false"/>
            <w:bCs w:val="false"/>
            <w:i/>
            <w:iCs/>
            <w:caps w:val="false"/>
            <w:smallCaps w:val="false"/>
            <w:color w:val="000000"/>
            <w:spacing w:val="0"/>
            <w:position w:val="0"/>
            <w:sz w:val="20"/>
            <w:szCs w:val="20"/>
            <w:vertAlign w:val="baseline"/>
            <w:lang w:val="en-US"/>
          </w:rPr>
          <w:t>paramonovama@my.msu.ru</w:t>
        </w:r>
      </w:hyperlink>
      <w:r>
        <w:rPr>
          <w:rStyle w:val="Strong"/>
          <w:b w:val="false"/>
          <w:bCs w:val="false"/>
          <w:i/>
          <w:iCs/>
          <w:caps w:val="false"/>
          <w:smallCaps w:val="false"/>
          <w:color w:val="000000"/>
          <w:spacing w:val="0"/>
          <w:position w:val="0"/>
          <w:sz w:val="20"/>
          <w:szCs w:val="20"/>
          <w:vertAlign w:val="baseline"/>
          <w:lang w:val="en-US"/>
        </w:rPr>
        <w:t xml:space="preserve">, </w:t>
      </w:r>
      <w:hyperlink r:id="rId3">
        <w:r>
          <w:rPr>
            <w:rStyle w:val="Hyperlink"/>
            <w:b w:val="false"/>
            <w:bCs w:val="false"/>
            <w:i/>
            <w:iCs/>
            <w:caps w:val="false"/>
            <w:smallCaps w:val="false"/>
            <w:color w:val="000000"/>
            <w:spacing w:val="0"/>
            <w:sz w:val="20"/>
            <w:szCs w:val="20"/>
            <w:vertAlign w:val="superscript"/>
            <w:lang w:val="en-US"/>
          </w:rPr>
          <w:t>2</w:t>
        </w:r>
        <w:r>
          <w:rPr>
            <w:rStyle w:val="Hyperlink"/>
            <w:b w:val="false"/>
            <w:bCs w:val="false"/>
            <w:i/>
            <w:iCs/>
            <w:caps w:val="false"/>
            <w:smallCaps w:val="false"/>
            <w:color w:val="000000"/>
            <w:spacing w:val="0"/>
            <w:position w:val="0"/>
            <w:sz w:val="20"/>
            <w:szCs w:val="20"/>
            <w:vertAlign w:val="baseline"/>
            <w:lang w:val="en-US"/>
          </w:rPr>
          <w:t>demidov@inr.ac.ru</w:t>
        </w:r>
      </w:hyperlink>
    </w:p>
    <w:p>
      <w:pPr>
        <w:pStyle w:val="Organization"/>
        <w:rPr/>
      </w:pPr>
      <w:r>
        <w:rPr/>
      </w:r>
    </w:p>
    <w:p>
      <w:pPr>
        <w:pStyle w:val="Normal"/>
        <w:bidi w:val="0"/>
        <w:ind w:firstLine="397" w:left="0" w:right="0"/>
        <w:jc w:val="both"/>
        <w:rPr/>
      </w:pPr>
      <w:r>
        <w:rPr/>
        <w:tab/>
        <w:t>Cреди различных расширений Стандартной модели одними из наиболее перспективных являются суперсимметричные модели. Несмотря на то что суперпартнеры не были обнаружены, есть возможность проявления суперсимметрии менее очевидным образом - через скрытый  сектор. В данной работе рассматривается Минимальная суперсимметричная стандартная модель (МССМ) со спонтанным нарушением суперсимметрии, за которое отвечает дополнительное киральное суперполе cголдстино. Спонтанное нарушение суперсимметрии обусловлено ненулевым вакуумным средним &lt;</w:t>
      </w:r>
      <w:r>
        <w:rPr>
          <w:i/>
          <w:iCs/>
        </w:rPr>
        <w:t>F</w:t>
      </w:r>
      <w:r>
        <w:rPr/>
        <w:t xml:space="preserve">&gt;  вспомогательного поля F, масштаб нарушения суперсимметрии  </w:t>
      </w:r>
      <w:r>
        <w:rPr>
          <w:rFonts w:eastAsia="Times New Roman" w:cs="Times New Roman" w:ascii="Times New Roman" w:hAnsi="Times New Roman"/>
        </w:rPr>
        <w:t>√</w:t>
      </w:r>
      <w:r>
        <w:rPr/>
        <w:t>&lt;</w:t>
      </w:r>
      <w:r>
        <w:rPr>
          <w:i/>
          <w:iCs/>
        </w:rPr>
        <w:t>F</w:t>
      </w:r>
      <w:r>
        <w:rPr/>
        <w:t>&gt; находится в диапазоне 10-10</w:t>
      </w:r>
      <w:r>
        <w:rPr>
          <w:vertAlign w:val="superscript"/>
        </w:rPr>
        <w:t>3</w:t>
      </w:r>
      <w:r>
        <w:rPr>
          <w:position w:val="0"/>
          <w:sz w:val="22"/>
          <w:vertAlign w:val="baseline"/>
        </w:rPr>
        <w:t xml:space="preserve"> ТэВ.  Поле сголдстино </w:t>
      </w:r>
      <w:r>
        <w:rPr>
          <w:rFonts w:eastAsia="Times New Roman"/>
          <w:position w:val="0"/>
          <w:sz w:val="22"/>
          <w:vertAlign w:val="baseline"/>
        </w:rPr>
        <w:t>φ = (S+iP)/</w:t>
      </w:r>
      <w:r>
        <w:rPr>
          <w:rFonts w:eastAsia="Times New Roman" w:cs="Times New Roman"/>
          <w:position w:val="0"/>
          <w:sz w:val="22"/>
          <w:vertAlign w:val="baseline"/>
        </w:rPr>
        <w:t>√2 состоит из скалярной (S) и псевдоскалярной (P) компонент. Мы рассчитываем сечение рождения сголдстино в протон-протонных столкновениях при низких энергиях (в проекте TiMoFe</w:t>
      </w:r>
      <w:r>
        <w:rPr>
          <w:rFonts w:eastAsia="Times New Roman" w:cs="Times New Roman"/>
          <w:position w:val="0"/>
          <w:sz w:val="22"/>
          <w:shd w:fill="FFFFFF" w:val="clear"/>
          <w:vertAlign w:val="baseline"/>
        </w:rPr>
        <w:t>y</w:t>
      </w:r>
      <w:r>
        <w:rPr>
          <w:rFonts w:eastAsia="Times New Roman" w:cs="Times New Roman"/>
          <w:shd w:fill="FFFFFF" w:val="clear"/>
          <w:vertAlign w:val="superscript"/>
        </w:rPr>
        <w:t xml:space="preserve">[1] </w:t>
      </w:r>
      <w:r>
        <w:rPr>
          <w:rFonts w:eastAsia="Times New Roman" w:cs="Times New Roman"/>
          <w:position w:val="0"/>
          <w:sz w:val="22"/>
          <w:vertAlign w:val="baseline"/>
        </w:rPr>
        <w:t>запланированы этапы работы с энергией пучков 423 и 1300 МэВ).</w:t>
      </w:r>
    </w:p>
    <w:p>
      <w:pPr>
        <w:pStyle w:val="Normal"/>
        <w:bidi w:val="0"/>
        <w:ind w:firstLine="397"/>
        <w:jc w:val="both"/>
        <w:rPr/>
      </w:pPr>
      <w:r>
        <w:rPr/>
        <w:t>При таких энергиях целесообразно использовать для вычислений киральную теорию возмущений (Chiral perturbation theory или ChPT</w:t>
      </w:r>
      <w:r>
        <w:rPr>
          <w:shd w:fill="FFFFFF" w:val="clear"/>
        </w:rPr>
        <w:t>)</w:t>
      </w:r>
      <w:r>
        <w:rPr>
          <w:shd w:fill="FFFFFF" w:val="clear"/>
          <w:vertAlign w:val="superscript"/>
        </w:rPr>
        <w:t>[2]</w:t>
      </w:r>
      <w:r>
        <w:rPr>
          <w:shd w:fill="FFFFFF" w:val="clear"/>
        </w:rPr>
        <w:t xml:space="preserve">  как </w:t>
      </w:r>
      <w:r>
        <w:rPr/>
        <w:t xml:space="preserve">эффективную низкоэнергетическую теорию квантовой хромодинамики, а также обобщения киральной теории на случай взаимодействия с нуклонами.  </w:t>
      </w:r>
    </w:p>
    <w:p>
      <w:pPr>
        <w:pStyle w:val="Normal"/>
        <w:bidi w:val="0"/>
        <w:ind w:firstLine="397"/>
        <w:jc w:val="both"/>
        <w:rPr/>
      </w:pPr>
      <w:r>
        <w:rPr/>
        <w:t>Мы рассматриваем упрощенный лагранжиан взаимодействия псевдоскалярного сголдстино, в котором удержано лишь взаимодействие в глюонами</w:t>
      </w:r>
    </w:p>
    <w:p>
      <w:pPr>
        <w:pStyle w:val="Normal"/>
        <w:bidi w:val="0"/>
        <w:ind w:firstLine="397"/>
        <w:jc w:val="left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L</m:t>
          </m:r>
          <m:r>
            <m:rPr>
              <m:lit/>
              <m:nor/>
            </m:rP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L</m:t>
              </m:r>
            </m:e>
            <m:sub>
              <m:r>
                <w:rPr>
                  <w:rFonts w:ascii="Cambria Math" w:hAnsi="Cambria Math"/>
                </w:rPr>
                <m:t xml:space="preserve">ChPT</m:t>
              </m:r>
            </m:sub>
          </m:sSub>
          <m:r>
            <m:rPr>
              <m:lit/>
              <m:nor/>
            </m:rPr>
            <w:rPr>
              <w:rFonts w:ascii="Cambria Math" w:hAnsi="Cambria Math"/>
            </w:rPr>
            <m:t xml:space="preserve">-</m:t>
          </m:r>
          <m:f>
            <m:num>
              <m:sSub>
                <m:e>
                  <m:r>
                    <w:rPr>
                      <w:rFonts w:ascii="Cambria Math" w:hAnsi="Cambria Math"/>
                    </w:rPr>
                    <m:t xml:space="preserve">M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 xml:space="preserve">2</m:t>
              </m:r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2</m:t>
                  </m:r>
                </m:e>
              </m:rad>
              <m:r>
                <w:rPr>
                  <w:rFonts w:ascii="Cambria Math" w:hAnsi="Cambria Math"/>
                </w:rPr>
                <m:t xml:space="preserve">F</m:t>
              </m:r>
            </m:den>
          </m:f>
          <m:r>
            <w:rPr>
              <w:rFonts w:ascii="Cambria Math" w:hAnsi="Cambria Math"/>
            </w:rPr>
            <m:t xml:space="preserve">P</m:t>
          </m:r>
          <m:sSubSup>
            <m:e>
              <m:r>
                <w:rPr>
                  <w:rFonts w:ascii="Cambria Math" w:hAnsi="Cambria Math"/>
                </w:rPr>
                <m:t xml:space="preserve">G</m:t>
              </m:r>
            </m:e>
            <m:sub>
              <m:r>
                <w:rPr>
                  <w:rFonts w:ascii="Cambria Math" w:hAnsi="Cambria Math"/>
                </w:rPr>
                <m:t xml:space="preserve">a</m:t>
              </m:r>
            </m:sub>
            <m:sup>
              <m:r>
                <w:rPr>
                  <w:rFonts w:ascii="Cambria Math" w:hAnsi="Cambria Math"/>
                </w:rPr>
                <m:t xml:space="preserve">μ</m:t>
              </m:r>
              <m:r>
                <w:rPr>
                  <w:rFonts w:ascii="Cambria Math" w:hAnsi="Cambria Math"/>
                </w:rPr>
                <m:t xml:space="preserve">ν</m:t>
              </m:r>
            </m:sup>
          </m:sSubSup>
          <m:acc>
            <m:accPr>
              <m:chr m:val="~"/>
            </m:accPr>
            <m:e>
              <m:sSubSup>
                <m:e>
                  <m:r>
                    <w:rPr>
                      <w:rFonts w:ascii="Cambria Math" w:hAnsi="Cambria Math"/>
                    </w:rPr>
                    <m:t xml:space="preserve">G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a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μ</m:t>
                  </m:r>
                  <m:r>
                    <w:rPr>
                      <w:rFonts w:ascii="Cambria Math" w:hAnsi="Cambria Math"/>
                    </w:rPr>
                    <m:t xml:space="preserve">ν</m:t>
                  </m:r>
                </m:sup>
              </m:sSubSup>
            </m:e>
          </m:acc>
          <m:r>
            <w:rPr>
              <w:rFonts w:ascii="Cambria Math" w:hAnsi="Cambria Math"/>
            </w:rPr>
            <m:t xml:space="preserve">,</m:t>
          </m:r>
        </m:oMath>
      </m:oMathPara>
    </w:p>
    <w:p>
      <w:pPr>
        <w:pStyle w:val="Normal"/>
        <w:bidi w:val="0"/>
        <w:ind w:firstLine="397"/>
        <w:jc w:val="both"/>
        <w:rPr/>
      </w:pPr>
      <w:r>
        <w:rPr/>
      </w:r>
    </w:p>
    <w:p>
      <w:pPr>
        <w:pStyle w:val="Normal"/>
        <w:bidi w:val="0"/>
        <w:ind w:firstLine="397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vertAlign w:val="baseline"/>
          <w:lang w:val="en-US"/>
        </w:rPr>
        <w:t xml:space="preserve">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vertAlign w:val="baseline"/>
          <w:lang w:val="en-US"/>
        </w:rPr>
        <w:t>в котором F — масштаб нарушения суперсимметрии, M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vertAlign w:val="subscript"/>
          <w:lang w:val="en-US"/>
        </w:rPr>
        <w:t>3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vertAlign w:val="baseline"/>
          <w:lang w:val="en-US"/>
        </w:rPr>
        <w:t xml:space="preserve"> — масса гейджино группы SU(3), P — поле псевдоскалярного сголдстино. Делая киральный поворот и подбирая параметры таким образом, чтобы избавиться от данного взаимодействия, мы получаем смешивание между сголдстино и псевдоскалярным пионо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FFFFFF" w:val="clear"/>
          <w:vertAlign w:val="baseline"/>
          <w:lang w:val="en-US"/>
        </w:rPr>
        <w:t>м.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vertAlign w:val="superscript"/>
          <w:lang w:val="en-US"/>
        </w:rPr>
        <w:t xml:space="preserve">[3]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FFFFFF" w:val="clear"/>
          <w:vertAlign w:val="baseline"/>
          <w:lang w:val="en-US"/>
        </w:rPr>
        <w:t>С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мешивание также возникает в кинетическом члене, что приводит к появлению дополнительных диаграмм Фейнмана для процессов рождения псевдоскалярного сголдстино.</w:t>
      </w:r>
    </w:p>
    <w:p>
      <w:pPr>
        <w:pStyle w:val="Normal"/>
        <w:bidi w:val="0"/>
        <w:ind w:firstLine="397"/>
        <w:jc w:val="both"/>
        <w:rPr/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Был проделан вывод лагранжиана взаимодействия сголдстино и построены диаграммы Фейнмана для процессов π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vertAlign w:val="superscript"/>
          <w:lang w:val="en-US"/>
        </w:rPr>
        <w:t>0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n → nP, π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vertAlign w:val="superscript"/>
          <w:lang w:val="en-US"/>
        </w:rPr>
        <w:t>0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p → pP, π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vertAlign w:val="superscript"/>
          <w:lang w:val="en-US"/>
        </w:rPr>
        <w:t>+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n → pP, π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vertAlign w:val="superscript"/>
          <w:lang w:val="en-US"/>
        </w:rPr>
        <w:t>-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p → nP.  Также было рассчитано сечение рассеяния для упомянутых выше процессов и найден угол смешивания между нейтральным пионом и сголдстино.</w:t>
      </w:r>
    </w:p>
    <w:p>
      <w:pPr>
        <w:pStyle w:val="Normal"/>
        <w:bidi w:val="0"/>
        <w:ind w:firstLine="397"/>
        <w:jc w:val="both"/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</w:r>
    </w:p>
    <w:p>
      <w:pPr>
        <w:pStyle w:val="Literature"/>
        <w:jc w:val="center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>Литература</w:t>
      </w:r>
    </w:p>
    <w:p>
      <w:pPr>
        <w:pStyle w:val="References"/>
        <w:numPr>
          <w:ilvl w:val="0"/>
          <w:numId w:val="5"/>
        </w:numPr>
        <w:bidi w:val="0"/>
        <w:jc w:val="left"/>
        <w:rPr>
          <w:sz w:val="24"/>
          <w:szCs w:val="24"/>
        </w:rPr>
      </w:pPr>
      <w:r>
        <w:rPr>
          <w:i/>
          <w:sz w:val="24"/>
          <w:szCs w:val="24"/>
          <w:shd w:fill="FFFFFF" w:val="clear"/>
        </w:rPr>
        <w:t>Demidov S.V.</w:t>
      </w:r>
      <w:r>
        <w:rPr>
          <w:sz w:val="24"/>
          <w:szCs w:val="24"/>
          <w:shd w:fill="FFFFFF" w:val="clear"/>
        </w:rPr>
        <w:t xml:space="preserve"> [et al.]. Searches for new light particles at the Troitsk Meson Factory (TiMoFey) //</w:t>
      </w:r>
      <w:r>
        <w:rPr>
          <w:w w:val="60"/>
          <w:sz w:val="24"/>
          <w:szCs w:val="24"/>
          <w:shd w:fill="FFFFFF" w:val="clear"/>
        </w:rPr>
        <w:t>  arXiv:2508.01968</w:t>
      </w:r>
    </w:p>
    <w:p>
      <w:pPr>
        <w:pStyle w:val="References"/>
        <w:numPr>
          <w:ilvl w:val="0"/>
          <w:numId w:val="0"/>
        </w:numPr>
        <w:bidi w:val="0"/>
        <w:ind w:hanging="0" w:left="502"/>
        <w:jc w:val="left"/>
        <w:rPr>
          <w:spacing w:val="2"/>
          <w:shd w:fill="FFFFFF" w:val="clear"/>
        </w:rPr>
      </w:pPr>
      <w:r>
        <w:rPr>
          <w:spacing w:val="2"/>
          <w:sz w:val="24"/>
          <w:szCs w:val="24"/>
          <w:shd w:fill="FFFFFF" w:val="clear"/>
        </w:rPr>
        <w:t>[hep-ph] (2025)</w:t>
      </w:r>
    </w:p>
    <w:p>
      <w:pPr>
        <w:pStyle w:val="References"/>
        <w:numPr>
          <w:ilvl w:val="0"/>
          <w:numId w:val="3"/>
        </w:numPr>
        <w:bidi w:val="0"/>
        <w:jc w:val="left"/>
        <w:rPr>
          <w:sz w:val="24"/>
          <w:szCs w:val="24"/>
        </w:rPr>
      </w:pPr>
      <w:r>
        <w:rPr>
          <w:spacing w:val="2"/>
          <w:sz w:val="24"/>
          <w:szCs w:val="24"/>
          <w:shd w:fill="FFFFFF" w:val="clear"/>
        </w:rPr>
        <w:t xml:space="preserve">A. Pich.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Effective Field Theory with Nambu-Goldstone Modes //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e-Print: 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1804.05664 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[hep-ph] (2020). Published in: Les Houches Lect.Notes 108 (2020).</w:t>
      </w:r>
    </w:p>
    <w:p>
      <w:pPr>
        <w:pStyle w:val="References"/>
        <w:numPr>
          <w:ilvl w:val="0"/>
          <w:numId w:val="3"/>
        </w:numPr>
        <w:bidi w:val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  <w:lang w:val="en-US"/>
        </w:rPr>
        <w:t>M. Bauer. [et al]. Consistent Treatment of Axions in the Weak Chiral Lagrangian // Phys. Rev. Lett. 2021. V. 127(9): 081803.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!! Title"/>
    <w:basedOn w:val="Normal"/>
    <w:next w:val="Authors"/>
    <w:qFormat/>
    <w:pPr>
      <w:keepNext w:val="true"/>
      <w:keepLines/>
      <w:suppressAutoHyphens w:val="true"/>
      <w:spacing w:before="160" w:after="60"/>
      <w:ind w:hanging="0"/>
      <w:jc w:val="center"/>
    </w:pPr>
    <w:rPr>
      <w:rFonts w:eastAsia="Calibri"/>
      <w:b/>
      <w:sz w:val="24"/>
      <w:szCs w:val="28"/>
      <w:shd w:fill="FFFFFF" w:val="clear"/>
    </w:rPr>
  </w:style>
  <w:style w:type="paragraph" w:styleId="Authors">
    <w:name w:val="!! Authors"/>
    <w:next w:val="Organization"/>
    <w:qFormat/>
    <w:pPr>
      <w:keepNext w:val="true"/>
      <w:widowControl/>
      <w:suppressAutoHyphens w:val="true"/>
      <w:bidi w:val="0"/>
      <w:spacing w:before="240" w:after="0"/>
      <w:jc w:val="center"/>
      <w:outlineLvl w:val="0"/>
    </w:pPr>
    <w:rPr>
      <w:rFonts w:ascii="Times New Roman" w:hAnsi="Times New Roman" w:eastAsia="SimSun" w:cs="Times New Roman"/>
      <w:b/>
      <w:i/>
      <w:iCs/>
      <w:color w:val="auto"/>
      <w:kern w:val="0"/>
      <w:sz w:val="22"/>
      <w:szCs w:val="22"/>
      <w:lang w:val="en-US" w:eastAsia="ru-RU" w:bidi="ar-SA"/>
    </w:rPr>
  </w:style>
  <w:style w:type="paragraph" w:styleId="Organization">
    <w:name w:val="!! Organization"/>
    <w:qFormat/>
    <w:pPr>
      <w:keepNext w:val="true"/>
      <w:keepLines/>
      <w:widowControl/>
      <w:suppressAutoHyphens w:val="true"/>
      <w:bidi w:val="0"/>
      <w:spacing w:before="120" w:after="240"/>
      <w:contextualSpacing/>
      <w:jc w:val="center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ru-RU" w:bidi="ar-SA"/>
    </w:rPr>
  </w:style>
  <w:style w:type="paragraph" w:styleId="References">
    <w:name w:val="!! References"/>
    <w:basedOn w:val="Normal"/>
    <w:qFormat/>
    <w:pPr>
      <w:numPr>
        <w:ilvl w:val="0"/>
        <w:numId w:val="1"/>
      </w:numPr>
      <w:suppressAutoHyphens w:val="true"/>
      <w:spacing w:before="0" w:after="0"/>
      <w:contextualSpacing/>
    </w:pPr>
    <w:rPr>
      <w:rFonts w:cs="Calibri"/>
      <w:sz w:val="20"/>
      <w:szCs w:val="20"/>
      <w:lang w:val="en-US" w:eastAsia="zh-CN" w:bidi="he-IL"/>
    </w:rPr>
  </w:style>
  <w:style w:type="paragraph" w:styleId="Literature">
    <w:name w:val="!! Literature"/>
    <w:qFormat/>
    <w:pPr>
      <w:keepNext w:val="true"/>
      <w:widowControl/>
      <w:suppressAutoHyphens w:val="true"/>
      <w:bidi w:val="0"/>
      <w:spacing w:before="240" w:after="120"/>
      <w:jc w:val="center"/>
    </w:pPr>
    <w:rPr>
      <w:rFonts w:ascii="Times New Roman" w:hAnsi="Times New Roman" w:eastAsia="SimSun" w:cs="Times New Roman"/>
      <w:b/>
      <w:color w:val="auto"/>
      <w:kern w:val="0"/>
      <w:sz w:val="22"/>
      <w:szCs w:val="24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paramonovama@my.msu.ru" TargetMode="External"/><Relationship Id="rId3" Type="http://schemas.openxmlformats.org/officeDocument/2006/relationships/hyperlink" Target="mailto:2demidov@inr.ac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LibreOffice/26.2.0.3$MacOSX_AARCH64 LibreOffice_project/afbbd0df0edb6d40b450b0337ac646b0913a760c</Application>
  <AppVersion>15.0000</AppVersion>
  <Pages>1</Pages>
  <Words>347</Words>
  <Characters>2439</Characters>
  <CharactersWithSpaces>2783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2026-03-09T17:47:40Z</dcterms:created>
  <dc:creator/>
  <dc:description/>
  <dc:language>ru-RU</dc:language>
  <cp:lastModifiedBy/>
  <dcterms:modified xsi:type="dcterms:W3CDTF">2026-03-09T22:40:47Z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