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ind w:left="1361" w:right="136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Метод к</w:t>
      </w:r>
      <w:r>
        <w:rPr>
          <w:b/>
          <w:bCs/>
          <w:color w:val="000000"/>
          <w:sz w:val="24"/>
          <w:szCs w:val="24"/>
        </w:rPr>
        <w:t>алибровк</w:t>
      </w:r>
      <w:r>
        <w:rPr>
          <w:b/>
          <w:bCs/>
          <w:sz w:val="24"/>
          <w:szCs w:val="24"/>
        </w:rPr>
        <w:t xml:space="preserve">и </w:t>
      </w:r>
      <w:r>
        <w:rPr>
          <w:b/>
          <w:bCs/>
          <w:color w:val="000000"/>
          <w:sz w:val="24"/>
          <w:szCs w:val="24"/>
        </w:rPr>
        <w:t>оптического пинцета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ind w:left="1361" w:right="1361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прецизионного измерения сил адгезии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микрообъектов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  <w:highlight w:val="white"/>
          <w:u w:val="single"/>
        </w:rPr>
        <w:t>Панова В.С.,</w:t>
      </w:r>
      <w:r>
        <w:rPr>
          <w:b/>
          <w:bCs/>
          <w:i/>
          <w:iCs/>
          <w:color w:val="000000"/>
          <w:sz w:val="24"/>
          <w:szCs w:val="24"/>
          <w:highlight w:val="white"/>
        </w:rPr>
        <w:t xml:space="preserve"> Щелкунов Н.М.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i/>
          <w:iCs/>
          <w:color w:val="000000"/>
          <w:sz w:val="24"/>
          <w:szCs w:val="24"/>
          <w:highlight w:val="white"/>
        </w:rPr>
      </w:pPr>
      <w:r>
        <w:rPr>
          <w:i/>
          <w:iCs/>
          <w:color w:val="000000"/>
          <w:sz w:val="24"/>
          <w:szCs w:val="24"/>
          <w:highlight w:val="white"/>
        </w:rPr>
        <w:t>студент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426"/>
        <w:jc w:val="center"/>
        <w:rPr>
          <w:i/>
          <w:iCs/>
          <w:color w:val="000000"/>
          <w:sz w:val="24"/>
          <w:szCs w:val="24"/>
          <w:highlight w:val="white"/>
        </w:rPr>
      </w:pPr>
      <w:r>
        <w:rPr>
          <w:i/>
          <w:iCs/>
          <w:color w:val="000000"/>
          <w:sz w:val="24"/>
          <w:szCs w:val="24"/>
          <w:highlight w:val="white"/>
        </w:rPr>
        <w:t>Московский государственный</w:t>
      </w:r>
      <w:r>
        <w:rPr>
          <w:i/>
          <w:iCs/>
          <w:sz w:val="24"/>
          <w:szCs w:val="24"/>
          <w:highlight w:val="white"/>
        </w:rPr>
        <w:t xml:space="preserve"> </w:t>
      </w:r>
      <w:r>
        <w:rPr>
          <w:i/>
          <w:iCs/>
          <w:color w:val="000000"/>
          <w:sz w:val="24"/>
          <w:szCs w:val="24"/>
          <w:highlight w:val="white"/>
        </w:rPr>
        <w:t>университет имени М. В. Ломоносова, </w:t>
      </w:r>
      <w:r>
        <w:rPr>
          <w:i/>
          <w:iCs/>
          <w:color w:val="000000"/>
          <w:sz w:val="24"/>
          <w:szCs w:val="24"/>
          <w:highlight w:val="white"/>
        </w:rPr>
        <w:br/>
        <w:t>физический факультет, Москва, Россия</w:t>
      </w:r>
      <w:r>
        <w:rPr>
          <w:i/>
          <w:iCs/>
          <w:color w:val="000000"/>
          <w:sz w:val="24"/>
          <w:szCs w:val="24"/>
          <w:highlight w:val="white"/>
        </w:rPr>
        <w:br/>
        <w:t>E–</w:t>
      </w:r>
      <w:proofErr w:type="spellStart"/>
      <w:r>
        <w:rPr>
          <w:i/>
          <w:iCs/>
          <w:color w:val="000000"/>
          <w:sz w:val="24"/>
          <w:szCs w:val="24"/>
          <w:highlight w:val="white"/>
        </w:rPr>
        <w:t>mail</w:t>
      </w:r>
      <w:proofErr w:type="spellEnd"/>
      <w:r>
        <w:rPr>
          <w:color w:val="000000"/>
          <w:sz w:val="24"/>
          <w:szCs w:val="24"/>
          <w:highlight w:val="white"/>
        </w:rPr>
        <w:t xml:space="preserve">: </w:t>
      </w:r>
      <w:hyperlink r:id="rId6">
        <w:r>
          <w:rPr>
            <w:color w:val="0000FF"/>
            <w:sz w:val="24"/>
            <w:szCs w:val="24"/>
            <w:highlight w:val="white"/>
            <w:u w:val="single"/>
          </w:rPr>
          <w:t>violettapanova04@mail.ru</w:t>
        </w:r>
      </w:hyperlink>
      <w:r>
        <w:rPr>
          <w:i/>
          <w:iCs/>
          <w:sz w:val="24"/>
          <w:szCs w:val="24"/>
          <w:highlight w:val="white"/>
        </w:rPr>
        <w:t>.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настоящее время разработка методов оптической манипуляции микрообъектами является одним из важных направлений развития современной фотоники. Это связано с многочисленными практическими применениями технологии оптического пинцета в биологии, медицине, нанотехнологиях и других областях [1 - 4]. Уникальность метода заключается в возможности бесконтактного манипулирования микрообъектами в закрытых объёмах и прямого количественного измерения сил от долей </w:t>
      </w:r>
      <w:proofErr w:type="spellStart"/>
      <w:r>
        <w:rPr>
          <w:color w:val="000000"/>
          <w:sz w:val="24"/>
          <w:szCs w:val="24"/>
        </w:rPr>
        <w:t>пиконьютона</w:t>
      </w:r>
      <w:proofErr w:type="spellEnd"/>
      <w:r>
        <w:rPr>
          <w:color w:val="000000"/>
          <w:sz w:val="24"/>
          <w:szCs w:val="24"/>
        </w:rPr>
        <w:t xml:space="preserve"> до сотен </w:t>
      </w:r>
      <w:proofErr w:type="spellStart"/>
      <w:r>
        <w:rPr>
          <w:color w:val="000000"/>
          <w:sz w:val="24"/>
          <w:szCs w:val="24"/>
        </w:rPr>
        <w:t>пиконьютонов</w:t>
      </w:r>
      <w:proofErr w:type="spellEnd"/>
      <w:r>
        <w:rPr>
          <w:color w:val="000000"/>
          <w:sz w:val="24"/>
          <w:szCs w:val="24"/>
        </w:rPr>
        <w:t xml:space="preserve"> в среде, близкой к физиологической.  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Принцип работы оптического пинцета основан на фокусировке лазерного пучка </w:t>
      </w:r>
      <w:proofErr w:type="spellStart"/>
      <w:r>
        <w:rPr>
          <w:color w:val="000000"/>
          <w:sz w:val="24"/>
          <w:szCs w:val="24"/>
        </w:rPr>
        <w:t>высокоапертурным</w:t>
      </w:r>
      <w:proofErr w:type="spellEnd"/>
      <w:r>
        <w:rPr>
          <w:color w:val="000000"/>
          <w:sz w:val="24"/>
          <w:szCs w:val="24"/>
        </w:rPr>
        <w:t xml:space="preserve"> объективом, что создает градиентное электромагнитное поле. Диэлектрическая частица с показателем преломления выше, чем у окружающей среды, втягивается в область перетяжки пучка. При смещении частицы из центра ловушки возникает возвращающая сила, пропорциональная этому смещению, что позволяет использовать ловушку в качестве высокочувствительного динамометра [5, 6]. 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Благодаря тому, что оптическая ловушка ведет себя, как пружина, открывается возможность не только захватывать микрочастицы, но и количественно измерять силы, возникающие при их взаимодействии. Одним из способов реализации такого подхода является метод сведения-разведения [7], который был применен в данной работе для исследования сил адгезии полимерных покрытий. Измерение проводилось следующим образом: две </w:t>
      </w:r>
      <w:proofErr w:type="spellStart"/>
      <w:r>
        <w:rPr>
          <w:color w:val="000000"/>
          <w:sz w:val="24"/>
          <w:szCs w:val="24"/>
        </w:rPr>
        <w:t>трёхмикронные</w:t>
      </w:r>
      <w:proofErr w:type="spellEnd"/>
      <w:r>
        <w:rPr>
          <w:color w:val="000000"/>
          <w:sz w:val="24"/>
          <w:szCs w:val="24"/>
        </w:rPr>
        <w:t xml:space="preserve"> сферы поочерёдно захватывались ловушками, сводились до соприкосновения и выдерживались в контакте для формирования адгезионных связей. Затем ловушки начинали плавно разводить до тех пор, пока связь между частицами не разрушалась. Однако данный метод обладает принципиальным недостатком: калибровка силы в нём привязана к максимальной силе захвата, достигаемой лишь в точке, близкой к вылету частицы из ловушки. Это вынуждает определять силу разрыва с большим шагом по мощности. Дополнительными осложняющими факторами выступают влияние внешних сил (гидродинамических, броуновских) и износ полимерного покрытия в зоне контакта, который меняет адгезионные свойства частиц в каждом акте эксперимента. Учитывая также трудоёмкость метода, требующего постоянного </w:t>
      </w:r>
      <w:proofErr w:type="spellStart"/>
      <w:r>
        <w:rPr>
          <w:color w:val="000000"/>
          <w:sz w:val="24"/>
          <w:szCs w:val="24"/>
        </w:rPr>
        <w:t>перезахвата</w:t>
      </w:r>
      <w:proofErr w:type="spellEnd"/>
      <w:r>
        <w:rPr>
          <w:color w:val="000000"/>
          <w:sz w:val="24"/>
          <w:szCs w:val="24"/>
        </w:rPr>
        <w:t xml:space="preserve"> потерянных объектов, становится очевидно, что такая калибровка по максимальной силе захвата не позволяет проводить измерения с малым шагом и высокой точностью.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Предложен </w:t>
      </w:r>
      <w:r>
        <w:rPr>
          <w:sz w:val="24"/>
          <w:szCs w:val="24"/>
        </w:rPr>
        <w:t>а</w:t>
      </w:r>
      <w:r>
        <w:rPr>
          <w:color w:val="000000"/>
          <w:sz w:val="24"/>
          <w:szCs w:val="24"/>
        </w:rPr>
        <w:t>льтернативный подход, лишенный указанных недостатков</w:t>
      </w:r>
      <w:r>
        <w:rPr>
          <w:sz w:val="24"/>
          <w:szCs w:val="24"/>
        </w:rPr>
        <w:t xml:space="preserve">. Он </w:t>
      </w:r>
      <w:r>
        <w:rPr>
          <w:color w:val="000000"/>
          <w:sz w:val="24"/>
          <w:szCs w:val="24"/>
        </w:rPr>
        <w:t xml:space="preserve">основан на предварительной калибровке ловушки. Одиночная частица удерживается в ловушке, и регистрируются флуктуации её положения во времени. На основе этих данных строится гистограмма распределения координат частицы, огибающая которой отражает форму потенциальной ямы, создаваемой лазерным пучком [рис. 1]. Градиент восстановленного потенциала даёт профиль силы, действующей на частицу при её смещении из центра ловушки [рис. 1]. 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107305" cy="195135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1951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Рис. 1: Профили потенциальной ямы и силы при разных мощностях излучения в области перетяжки.</w:t>
      </w:r>
    </w:p>
    <w:p w:rsidR="007E3501" w:rsidRDefault="007E3501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color w:val="000000"/>
          <w:sz w:val="24"/>
          <w:szCs w:val="24"/>
        </w:rPr>
      </w:pP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Для перехода от относительных значений к абсолютной шкале сил используется калибровка по силе вязкого трения, которая позволяет определить максимальную силу захвата и связать её с мощностью лазера. Таким образом, объединение двух методов даёт количественную зависимость силы от смещения частицы в ловушке.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Благодаря такой калибровке процедура измерения адгезии становится прецизионной. Две частицы сводятся в контакт, при этом они смещены из центров ловушек, так как адгезия противодействует возвращающей силе. Затем мощность лазера плавно увеличивается малыми шагами. В момент, когда сила оптического захвата превышает силу адгезии, частицы разъединяются и возвращаются в центры ловушек. Зная точное значение мощности, при которой произошёл отрыв, и используя калибровочную кривую, мы непосредственно определяем силу адгезии. Также для пары </w:t>
      </w:r>
      <w:proofErr w:type="spellStart"/>
      <w:r>
        <w:rPr>
          <w:color w:val="000000"/>
          <w:sz w:val="24"/>
          <w:szCs w:val="24"/>
        </w:rPr>
        <w:t>одномикронных</w:t>
      </w:r>
      <w:proofErr w:type="spellEnd"/>
      <w:r>
        <w:rPr>
          <w:color w:val="000000"/>
          <w:sz w:val="24"/>
          <w:szCs w:val="24"/>
        </w:rPr>
        <w:t xml:space="preserve"> частиц было установлено, что оптимальное расстояние между центрами потенциалов двойной ловушки составляет 1.2 мкм. Такое развитие методики позволяет уменьшить погрешность измерения адгезивных сил на </w:t>
      </w:r>
      <w:proofErr w:type="spellStart"/>
      <w:r>
        <w:rPr>
          <w:color w:val="000000"/>
          <w:sz w:val="24"/>
          <w:szCs w:val="24"/>
        </w:rPr>
        <w:t>микромасштабе</w:t>
      </w:r>
      <w:proofErr w:type="spellEnd"/>
      <w:r>
        <w:rPr>
          <w:color w:val="000000"/>
          <w:sz w:val="24"/>
          <w:szCs w:val="24"/>
        </w:rPr>
        <w:t xml:space="preserve"> с 2–3 </w:t>
      </w:r>
      <w:proofErr w:type="spellStart"/>
      <w:r>
        <w:rPr>
          <w:color w:val="000000"/>
          <w:sz w:val="24"/>
          <w:szCs w:val="24"/>
        </w:rPr>
        <w:t>пН</w:t>
      </w:r>
      <w:proofErr w:type="spellEnd"/>
      <w:r>
        <w:rPr>
          <w:color w:val="000000"/>
          <w:sz w:val="24"/>
          <w:szCs w:val="24"/>
        </w:rPr>
        <w:t xml:space="preserve"> до 0.2 </w:t>
      </w:r>
      <w:proofErr w:type="spellStart"/>
      <w:r>
        <w:rPr>
          <w:color w:val="000000"/>
          <w:sz w:val="24"/>
          <w:szCs w:val="24"/>
        </w:rPr>
        <w:t>пН</w:t>
      </w:r>
      <w:proofErr w:type="spellEnd"/>
      <w:r>
        <w:rPr>
          <w:color w:val="000000"/>
          <w:sz w:val="24"/>
          <w:szCs w:val="24"/>
        </w:rPr>
        <w:t>, что существенно повышает точность результатов.</w:t>
      </w:r>
    </w:p>
    <w:p w:rsidR="007E3501" w:rsidRDefault="007E3501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 w:val="24"/>
          <w:szCs w:val="24"/>
        </w:rPr>
      </w:pPr>
    </w:p>
    <w:p w:rsidR="007E3501" w:rsidRPr="00802F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>
        <w:rPr>
          <w:b/>
          <w:bCs/>
          <w:color w:val="000000"/>
          <w:sz w:val="24"/>
          <w:szCs w:val="24"/>
        </w:rPr>
        <w:t>Литература</w:t>
      </w:r>
    </w:p>
    <w:p w:rsidR="007E3501" w:rsidRPr="000B10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 w:rsidRPr="00802F4E">
        <w:rPr>
          <w:color w:val="000000"/>
          <w:sz w:val="24"/>
          <w:szCs w:val="24"/>
          <w:lang w:val="en-US"/>
        </w:rPr>
        <w:t xml:space="preserve">1. Bustamante C.J., Chemla Y.R., Liu S., et al. </w:t>
      </w:r>
      <w:r w:rsidRPr="000B1060">
        <w:rPr>
          <w:color w:val="000000"/>
          <w:sz w:val="24"/>
          <w:szCs w:val="24"/>
          <w:lang w:val="en-US"/>
        </w:rPr>
        <w:t>Opti-</w:t>
      </w:r>
    </w:p>
    <w:p w:rsidR="007E3501" w:rsidRPr="00802F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proofErr w:type="spellStart"/>
      <w:r w:rsidRPr="00802F4E">
        <w:rPr>
          <w:color w:val="000000"/>
          <w:sz w:val="24"/>
          <w:szCs w:val="24"/>
          <w:lang w:val="en-US"/>
        </w:rPr>
        <w:t>cal</w:t>
      </w:r>
      <w:proofErr w:type="spellEnd"/>
      <w:r w:rsidRPr="00802F4E">
        <w:rPr>
          <w:color w:val="000000"/>
          <w:sz w:val="24"/>
          <w:szCs w:val="24"/>
          <w:lang w:val="en-US"/>
        </w:rPr>
        <w:t xml:space="preserve"> tweezers in single-molecule biophysics // Nat.</w:t>
      </w:r>
    </w:p>
    <w:p w:rsidR="007E3501" w:rsidRPr="000B10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 w:rsidRPr="000B1060">
        <w:rPr>
          <w:color w:val="000000"/>
          <w:sz w:val="24"/>
          <w:szCs w:val="24"/>
          <w:lang w:val="en-US"/>
        </w:rPr>
        <w:t xml:space="preserve">Rev. Methods Primers. 2021. V. 1. P. 29. </w:t>
      </w:r>
    </w:p>
    <w:p w:rsidR="007E3501" w:rsidRPr="000B10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 w:rsidRPr="00802F4E">
        <w:rPr>
          <w:color w:val="000000"/>
          <w:sz w:val="24"/>
          <w:szCs w:val="24"/>
          <w:lang w:val="en-US"/>
        </w:rPr>
        <w:t xml:space="preserve">2. Heller I., Hoekstra T.P., King G.A., et al. </w:t>
      </w:r>
      <w:r w:rsidRPr="000B1060">
        <w:rPr>
          <w:color w:val="000000"/>
          <w:sz w:val="24"/>
          <w:szCs w:val="24"/>
          <w:lang w:val="en-US"/>
        </w:rPr>
        <w:t>Optical</w:t>
      </w:r>
    </w:p>
    <w:p w:rsidR="007E3501" w:rsidRPr="00802F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 w:rsidRPr="00802F4E">
        <w:rPr>
          <w:color w:val="000000"/>
          <w:sz w:val="24"/>
          <w:szCs w:val="24"/>
          <w:lang w:val="en-US"/>
        </w:rPr>
        <w:t>tweezers analysis of DNA-protein complexes // Chem.</w:t>
      </w:r>
    </w:p>
    <w:p w:rsidR="007E3501" w:rsidRPr="00802F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 w:rsidRPr="00802F4E">
        <w:rPr>
          <w:color w:val="000000"/>
          <w:sz w:val="24"/>
          <w:szCs w:val="24"/>
          <w:lang w:val="en-US"/>
        </w:rPr>
        <w:t xml:space="preserve">Rev. 2014. V. 114. P. 3087–3119. </w:t>
      </w:r>
    </w:p>
    <w:p w:rsidR="007E3501" w:rsidRPr="00802F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 w:rsidRPr="00802F4E">
        <w:rPr>
          <w:color w:val="000000"/>
          <w:sz w:val="24"/>
          <w:szCs w:val="24"/>
          <w:lang w:val="en-US"/>
        </w:rPr>
        <w:t>3. Fazal F.M., Block S.M. Optical tweezers study life un-</w:t>
      </w:r>
    </w:p>
    <w:p w:rsidR="007E3501" w:rsidRPr="00802F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 w:rsidRPr="000B1060">
        <w:rPr>
          <w:color w:val="000000"/>
          <w:sz w:val="24"/>
          <w:szCs w:val="24"/>
          <w:lang w:val="en-US"/>
        </w:rPr>
        <w:t xml:space="preserve">der tension // Nat. Photonics. 2011. V. 5(6). </w:t>
      </w:r>
      <w:r w:rsidRPr="00802F4E">
        <w:rPr>
          <w:color w:val="000000"/>
          <w:sz w:val="24"/>
          <w:szCs w:val="24"/>
          <w:lang w:val="en-US"/>
        </w:rPr>
        <w:t>P. 318–321.</w:t>
      </w:r>
    </w:p>
    <w:p w:rsidR="007E3501" w:rsidRPr="000B10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 w:rsidRPr="00802F4E">
        <w:rPr>
          <w:color w:val="000000"/>
          <w:sz w:val="24"/>
          <w:szCs w:val="24"/>
          <w:lang w:val="en-US"/>
        </w:rPr>
        <w:t xml:space="preserve">4. Polimeno P., Magazzù A., Iatì M.A., et al. </w:t>
      </w:r>
      <w:r w:rsidRPr="000B1060">
        <w:rPr>
          <w:color w:val="000000"/>
          <w:sz w:val="24"/>
          <w:szCs w:val="24"/>
          <w:lang w:val="en-US"/>
        </w:rPr>
        <w:t>Optical twee-</w:t>
      </w:r>
    </w:p>
    <w:p w:rsidR="007E3501" w:rsidRPr="00802F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proofErr w:type="spellStart"/>
      <w:r w:rsidRPr="00802F4E">
        <w:rPr>
          <w:color w:val="000000"/>
          <w:sz w:val="24"/>
          <w:szCs w:val="24"/>
          <w:lang w:val="en-US"/>
        </w:rPr>
        <w:t>zers</w:t>
      </w:r>
      <w:proofErr w:type="spellEnd"/>
      <w:r w:rsidRPr="00802F4E">
        <w:rPr>
          <w:color w:val="000000"/>
          <w:sz w:val="24"/>
          <w:szCs w:val="24"/>
          <w:lang w:val="en-US"/>
        </w:rPr>
        <w:t xml:space="preserve"> and their applications // J. Quantitative Spectros-</w:t>
      </w:r>
    </w:p>
    <w:p w:rsidR="007E3501" w:rsidRPr="00802F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  <w:lang w:val="en-US"/>
        </w:rPr>
      </w:pPr>
      <w:r w:rsidRPr="000B1060">
        <w:rPr>
          <w:color w:val="000000"/>
          <w:sz w:val="24"/>
          <w:szCs w:val="24"/>
          <w:lang w:val="en-US"/>
        </w:rPr>
        <w:t xml:space="preserve">copy and Radiative Transfer. 2018. V. 218. </w:t>
      </w:r>
      <w:r w:rsidRPr="00802F4E">
        <w:rPr>
          <w:color w:val="000000"/>
          <w:sz w:val="24"/>
          <w:szCs w:val="24"/>
          <w:lang w:val="en-US"/>
        </w:rPr>
        <w:t>P. 131–150.</w:t>
      </w:r>
    </w:p>
    <w:p w:rsidR="007E3501" w:rsidRPr="00802F4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n-US"/>
        </w:rPr>
      </w:pPr>
      <w:r w:rsidRPr="00802F4E">
        <w:rPr>
          <w:color w:val="000000"/>
          <w:sz w:val="24"/>
          <w:szCs w:val="24"/>
          <w:lang w:val="en-US"/>
        </w:rPr>
        <w:t>5. Neuman, K. C., &amp; Block, S. M. (2004). Optical trapping. Review of Scientific Instruments, 75(9), 2787-2809.</w:t>
      </w:r>
    </w:p>
    <w:p w:rsidR="007E350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 Хохлова, М. Д. (2014). Метод оптического пинцета для определения сил взаимодействия и микромеханических характеристик клеток. МГУ.</w:t>
      </w:r>
    </w:p>
    <w:p w:rsidR="007E3501" w:rsidRDefault="00000000" w:rsidP="000B106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7. </w:t>
      </w:r>
      <w:proofErr w:type="spellStart"/>
      <w:r>
        <w:rPr>
          <w:color w:val="000000"/>
          <w:sz w:val="24"/>
          <w:szCs w:val="24"/>
        </w:rPr>
        <w:t>Pigareva</w:t>
      </w:r>
      <w:proofErr w:type="spellEnd"/>
      <w:r>
        <w:rPr>
          <w:color w:val="000000"/>
          <w:sz w:val="24"/>
          <w:szCs w:val="24"/>
        </w:rPr>
        <w:t xml:space="preserve">, V.A., </w:t>
      </w:r>
      <w:proofErr w:type="spellStart"/>
      <w:r>
        <w:rPr>
          <w:color w:val="000000"/>
          <w:sz w:val="24"/>
          <w:szCs w:val="24"/>
        </w:rPr>
        <w:t>Paltsev</w:t>
      </w:r>
      <w:proofErr w:type="spellEnd"/>
      <w:r>
        <w:rPr>
          <w:color w:val="000000"/>
          <w:sz w:val="24"/>
          <w:szCs w:val="24"/>
        </w:rPr>
        <w:t xml:space="preserve">, O.S., </w:t>
      </w:r>
      <w:proofErr w:type="spellStart"/>
      <w:r>
        <w:rPr>
          <w:color w:val="000000"/>
          <w:sz w:val="24"/>
          <w:szCs w:val="24"/>
        </w:rPr>
        <w:t>Marina</w:t>
      </w:r>
      <w:proofErr w:type="spellEnd"/>
      <w:r>
        <w:rPr>
          <w:color w:val="000000"/>
          <w:sz w:val="24"/>
          <w:szCs w:val="24"/>
        </w:rPr>
        <w:t xml:space="preserve">, V.I., </w:t>
      </w:r>
      <w:proofErr w:type="spellStart"/>
      <w:r>
        <w:rPr>
          <w:color w:val="000000"/>
          <w:sz w:val="24"/>
          <w:szCs w:val="24"/>
        </w:rPr>
        <w:t>Lukianov</w:t>
      </w:r>
      <w:proofErr w:type="spellEnd"/>
      <w:r>
        <w:rPr>
          <w:color w:val="000000"/>
          <w:sz w:val="24"/>
          <w:szCs w:val="24"/>
        </w:rPr>
        <w:t xml:space="preserve">, D.A., </w:t>
      </w:r>
      <w:proofErr w:type="spellStart"/>
      <w:r>
        <w:rPr>
          <w:color w:val="000000"/>
          <w:sz w:val="24"/>
          <w:szCs w:val="24"/>
        </w:rPr>
        <w:t>Moiseenko</w:t>
      </w:r>
      <w:proofErr w:type="spellEnd"/>
      <w:r>
        <w:rPr>
          <w:color w:val="000000"/>
          <w:sz w:val="24"/>
          <w:szCs w:val="24"/>
        </w:rPr>
        <w:t xml:space="preserve">, A.V., </w:t>
      </w:r>
      <w:proofErr w:type="spellStart"/>
      <w:r>
        <w:rPr>
          <w:color w:val="000000"/>
          <w:sz w:val="24"/>
          <w:szCs w:val="24"/>
        </w:rPr>
        <w:t>Shchelkunov</w:t>
      </w:r>
      <w:proofErr w:type="spellEnd"/>
      <w:r>
        <w:rPr>
          <w:color w:val="000000"/>
          <w:sz w:val="24"/>
          <w:szCs w:val="24"/>
        </w:rPr>
        <w:t xml:space="preserve">, N.M., </w:t>
      </w:r>
      <w:proofErr w:type="spellStart"/>
      <w:r>
        <w:rPr>
          <w:color w:val="000000"/>
          <w:sz w:val="24"/>
          <w:szCs w:val="24"/>
        </w:rPr>
        <w:t>Fedyanin</w:t>
      </w:r>
      <w:proofErr w:type="spellEnd"/>
      <w:r>
        <w:rPr>
          <w:color w:val="000000"/>
          <w:sz w:val="24"/>
          <w:szCs w:val="24"/>
        </w:rPr>
        <w:t xml:space="preserve">, A.A., &amp; </w:t>
      </w:r>
      <w:proofErr w:type="spellStart"/>
      <w:r>
        <w:rPr>
          <w:color w:val="000000"/>
          <w:sz w:val="24"/>
          <w:szCs w:val="24"/>
        </w:rPr>
        <w:t>Sybachin</w:t>
      </w:r>
      <w:proofErr w:type="spellEnd"/>
      <w:r>
        <w:rPr>
          <w:color w:val="000000"/>
          <w:sz w:val="24"/>
          <w:szCs w:val="24"/>
        </w:rPr>
        <w:t xml:space="preserve">, A.V. (2023). </w:t>
      </w:r>
      <w:r w:rsidRPr="00802F4E">
        <w:rPr>
          <w:color w:val="000000"/>
          <w:sz w:val="24"/>
          <w:szCs w:val="24"/>
          <w:lang w:val="en-US"/>
        </w:rPr>
        <w:t xml:space="preserve">Ag2O-Containing Biocidal Interpolyelectrolyte Complexes on Glass Surfaces—Adhesive Properties of the Coatings. </w:t>
      </w:r>
      <w:proofErr w:type="spellStart"/>
      <w:r>
        <w:rPr>
          <w:color w:val="000000"/>
          <w:sz w:val="24"/>
          <w:szCs w:val="24"/>
        </w:rPr>
        <w:t>Polymers</w:t>
      </w:r>
      <w:proofErr w:type="spellEnd"/>
      <w:r>
        <w:rPr>
          <w:color w:val="000000"/>
          <w:sz w:val="24"/>
          <w:szCs w:val="24"/>
        </w:rPr>
        <w:t>, 15(24), 4690.</w:t>
      </w:r>
    </w:p>
    <w:p w:rsidR="007E3501" w:rsidRDefault="007E3501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color w:val="000000"/>
          <w:sz w:val="24"/>
          <w:szCs w:val="24"/>
        </w:rPr>
      </w:pPr>
    </w:p>
    <w:p w:rsidR="007E3501" w:rsidRDefault="007E3501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</w:p>
    <w:sectPr w:rsidR="007E3501">
      <w:footerReference w:type="even" r:id="rId8"/>
      <w:footerReference w:type="default" r:id="rId9"/>
      <w:pgSz w:w="11906" w:h="16838"/>
      <w:pgMar w:top="1134" w:right="1361" w:bottom="1247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13C6" w:rsidRDefault="004913C6">
      <w:r>
        <w:separator/>
      </w:r>
    </w:p>
  </w:endnote>
  <w:endnote w:type="continuationSeparator" w:id="0">
    <w:p w:rsidR="004913C6" w:rsidRDefault="00491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D77847-5105-BD4B-ADCB-6C4C69539A84}"/>
    <w:embedBold r:id="rId2" w:fontKey="{B379CD4B-24F1-A945-9758-1619256C16A6}"/>
    <w:embedItalic r:id="rId3" w:fontKey="{B09038FB-F367-6E44-B5A4-F524E279D044}"/>
    <w:embedBoldItalic r:id="rId4" w:fontKey="{23DA2667-DEFC-9B4A-A77B-47C1DF5C55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DC440EB-E09A-9F41-94F8-22F5A91B7D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EE8BE94-B10F-F64F-8A1A-F661AD180D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EEF138-EBDC-F14A-B56A-16D2A79EC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3501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:rsidR="007E3501" w:rsidRDefault="007E3501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3501" w:rsidRDefault="007E3501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13C6" w:rsidRDefault="004913C6">
      <w:r>
        <w:separator/>
      </w:r>
    </w:p>
  </w:footnote>
  <w:footnote w:type="continuationSeparator" w:id="0">
    <w:p w:rsidR="004913C6" w:rsidRDefault="004913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501"/>
    <w:rsid w:val="000B1060"/>
    <w:rsid w:val="004913C6"/>
    <w:rsid w:val="006B72BB"/>
    <w:rsid w:val="007E3501"/>
    <w:rsid w:val="0080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00A86A"/>
  <w15:docId w15:val="{78C117F1-4B87-E745-AB3E-9F23FD4D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olettapanova04@mail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820</Words>
  <Characters>4676</Characters>
  <Application>Microsoft Office Word</Application>
  <DocSecurity>0</DocSecurity>
  <Lines>38</Lines>
  <Paragraphs>10</Paragraphs>
  <ScaleCrop>false</ScaleCrop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2026-03-02T20:49:00Z</dcterms:created>
  <dcterms:modified xsi:type="dcterms:W3CDTF">2026-03-02T20:52:00Z</dcterms:modified>
</cp:coreProperties>
</file>