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CB9A" w14:textId="6A62F067" w:rsidR="008951DB" w:rsidRPr="008951DB" w:rsidRDefault="008951DB" w:rsidP="007038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Новый неинвазивный метод определения калибровочных коэффициентов в технологии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esCCO</w:t>
      </w:r>
    </w:p>
    <w:p w14:paraId="246A3161" w14:textId="75B10850" w:rsidR="007038F7" w:rsidRPr="0031468B" w:rsidRDefault="00314391" w:rsidP="007038F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4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Порфирьева Е.В.</w:t>
      </w:r>
      <w:r w:rsidR="007038F7" w:rsidRPr="0031468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314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31468B" w:rsidRPr="00314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Давыдова Д.В.</w:t>
      </w:r>
      <w:r w:rsidR="0031468B" w:rsidRPr="0031468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31468B" w:rsidRPr="00314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314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Гусева Ю.А.</w:t>
      </w:r>
      <w:r w:rsidR="007038F7" w:rsidRPr="0031468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314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31468B" w:rsidRPr="00314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Жесткая Е.А.</w:t>
      </w:r>
      <w:r w:rsidR="007038F7" w:rsidRPr="0031468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Pr="00314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038F7" w:rsidRPr="0031468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7038F7" w:rsidRPr="0031468B">
        <w:rPr>
          <w:rFonts w:ascii="Times New Roman" w:hAnsi="Times New Roman" w:cs="Times New Roman"/>
          <w:i/>
          <w:iCs/>
          <w:sz w:val="24"/>
          <w:szCs w:val="24"/>
        </w:rPr>
        <w:t>Студент, студент, студент, аспирант, студент</w:t>
      </w:r>
    </w:p>
    <w:p w14:paraId="2961B3F4" w14:textId="0F82B58C" w:rsidR="007038F7" w:rsidRPr="007D3411" w:rsidRDefault="007038F7" w:rsidP="007038F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468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31468B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политехнический университет Петра Великого, Санкт-Петербург, Россия</w:t>
      </w:r>
      <w:r w:rsidRPr="0031468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1468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1468B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национальный исследовательский Академический университет Российской академии наук, Санкт-Петербург, Россия</w:t>
      </w:r>
      <w:r w:rsidRPr="0031468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1468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31468B">
        <w:rPr>
          <w:rFonts w:ascii="Times New Roman" w:hAnsi="Times New Roman" w:cs="Times New Roman"/>
          <w:i/>
          <w:iCs/>
          <w:sz w:val="24"/>
          <w:szCs w:val="24"/>
        </w:rPr>
        <w:t xml:space="preserve">Санкт-Петербургский государственный университет телекоммуникаций им. </w:t>
      </w:r>
      <w:r w:rsidR="00AF6C7C" w:rsidRPr="0031468B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31468B">
        <w:rPr>
          <w:rFonts w:ascii="Times New Roman" w:hAnsi="Times New Roman" w:cs="Times New Roman"/>
          <w:i/>
          <w:iCs/>
          <w:sz w:val="24"/>
          <w:szCs w:val="24"/>
        </w:rPr>
        <w:t>роф. М.А. Бонч-Бруевича, факультет инфокоммуникационных сетей и систем, Санкт-Петербург, Россия</w:t>
      </w:r>
      <w:r w:rsidRPr="0031468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31468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1468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1468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1468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31468B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porfirieva.ev@edu.spbstu.ru</w:t>
        </w:r>
      </w:hyperlink>
    </w:p>
    <w:p w14:paraId="1ECB7569" w14:textId="77777777" w:rsidR="00E25080" w:rsidRDefault="00E25080" w:rsidP="00E25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5080">
        <w:rPr>
          <w:rFonts w:ascii="Times New Roman" w:hAnsi="Times New Roman" w:cs="Times New Roman"/>
          <w:sz w:val="24"/>
          <w:szCs w:val="24"/>
        </w:rPr>
        <w:t xml:space="preserve">В медицинском мониторинге, включая критические состояния, наблюдается тенденция к уменьшению </w:t>
      </w:r>
      <w:proofErr w:type="spellStart"/>
      <w:r w:rsidRPr="00E25080">
        <w:rPr>
          <w:rFonts w:ascii="Times New Roman" w:hAnsi="Times New Roman" w:cs="Times New Roman"/>
          <w:sz w:val="24"/>
          <w:szCs w:val="24"/>
        </w:rPr>
        <w:t>инвазивности</w:t>
      </w:r>
      <w:proofErr w:type="spellEnd"/>
      <w:r w:rsidRPr="00E25080">
        <w:rPr>
          <w:rFonts w:ascii="Times New Roman" w:hAnsi="Times New Roman" w:cs="Times New Roman"/>
          <w:sz w:val="24"/>
          <w:szCs w:val="24"/>
        </w:rPr>
        <w:t xml:space="preserve">. Это касается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Pr="00E25080">
        <w:rPr>
          <w:rFonts w:ascii="Times New Roman" w:hAnsi="Times New Roman" w:cs="Times New Roman"/>
          <w:sz w:val="24"/>
          <w:szCs w:val="24"/>
        </w:rPr>
        <w:t xml:space="preserve"> мониторинга сердечного выброса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5080">
        <w:rPr>
          <w:rFonts w:ascii="Times New Roman" w:hAnsi="Times New Roman" w:cs="Times New Roman"/>
          <w:sz w:val="24"/>
          <w:szCs w:val="24"/>
        </w:rPr>
        <w:t xml:space="preserve"> одного из двух ключевых показателей эффективности кровообращения наряду со средним артериальным давлением, которое можно точно измерять неинвазивно. Для оценки сердечного выброса эталоном точности остаются инвазивные методы с катетеризацией сосудов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25080">
        <w:rPr>
          <w:rFonts w:ascii="Times New Roman" w:hAnsi="Times New Roman" w:cs="Times New Roman"/>
          <w:sz w:val="24"/>
          <w:szCs w:val="24"/>
        </w:rPr>
        <w:t>от центральных вен до периферических артерий и даже легочной артерии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25080">
        <w:rPr>
          <w:rFonts w:ascii="Times New Roman" w:hAnsi="Times New Roman" w:cs="Times New Roman"/>
          <w:sz w:val="24"/>
          <w:szCs w:val="24"/>
        </w:rPr>
        <w:t>. Хотя риски таких агрессивных процедур удается снижать со временем, врачи в ряде случаев предпочитают менее инвазивные альтернативы без проникновения в тел</w:t>
      </w:r>
      <w:r>
        <w:rPr>
          <w:rFonts w:ascii="Times New Roman" w:hAnsi="Times New Roman" w:cs="Times New Roman"/>
          <w:sz w:val="24"/>
          <w:szCs w:val="24"/>
        </w:rPr>
        <w:t>о человека</w:t>
      </w:r>
      <w:r w:rsidRPr="00E25080">
        <w:rPr>
          <w:rFonts w:ascii="Times New Roman" w:hAnsi="Times New Roman" w:cs="Times New Roman"/>
          <w:sz w:val="24"/>
          <w:szCs w:val="24"/>
        </w:rPr>
        <w:t xml:space="preserve"> [1]. Это особенно актуально, когда требуется точный динамический контроль сердечного выброса при операциях малого объема или у </w:t>
      </w:r>
      <w:proofErr w:type="spellStart"/>
      <w:r w:rsidRPr="00E25080">
        <w:rPr>
          <w:rFonts w:ascii="Times New Roman" w:hAnsi="Times New Roman" w:cs="Times New Roman"/>
          <w:sz w:val="24"/>
          <w:szCs w:val="24"/>
        </w:rPr>
        <w:t>неоперируемых</w:t>
      </w:r>
      <w:proofErr w:type="spellEnd"/>
      <w:r w:rsidRPr="00E25080">
        <w:rPr>
          <w:rFonts w:ascii="Times New Roman" w:hAnsi="Times New Roman" w:cs="Times New Roman"/>
          <w:sz w:val="24"/>
          <w:szCs w:val="24"/>
        </w:rPr>
        <w:t xml:space="preserve"> пациентов.</w:t>
      </w:r>
    </w:p>
    <w:p w14:paraId="6E085BD5" w14:textId="77777777" w:rsidR="00E25080" w:rsidRDefault="00AF6C7C" w:rsidP="00E25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t>В современном мире разработано мно</w:t>
      </w:r>
      <w:r w:rsidR="00E25080">
        <w:rPr>
          <w:rFonts w:ascii="Times New Roman" w:hAnsi="Times New Roman" w:cs="Times New Roman"/>
          <w:sz w:val="24"/>
          <w:szCs w:val="24"/>
        </w:rPr>
        <w:t>жество</w:t>
      </w:r>
      <w:r w:rsidRPr="007D3411">
        <w:rPr>
          <w:rFonts w:ascii="Times New Roman" w:hAnsi="Times New Roman" w:cs="Times New Roman"/>
          <w:sz w:val="24"/>
          <w:szCs w:val="24"/>
        </w:rPr>
        <w:t xml:space="preserve"> неинвазивных методов мониторинга состояния сердечно-сосудистой системы в экспресс-режиме. Для экспресс-диагностики сердца наиболее распространено использование методов, которые основаны на электрокардиограмм</w:t>
      </w:r>
      <w:r w:rsidR="00E25080">
        <w:rPr>
          <w:rFonts w:ascii="Times New Roman" w:hAnsi="Times New Roman" w:cs="Times New Roman"/>
          <w:sz w:val="24"/>
          <w:szCs w:val="24"/>
        </w:rPr>
        <w:t>е</w:t>
      </w:r>
      <w:r w:rsidRPr="007D3411">
        <w:rPr>
          <w:rFonts w:ascii="Times New Roman" w:hAnsi="Times New Roman" w:cs="Times New Roman"/>
          <w:sz w:val="24"/>
          <w:szCs w:val="24"/>
        </w:rPr>
        <w:t>, эхокардиограмм</w:t>
      </w:r>
      <w:r w:rsidR="00E25080">
        <w:rPr>
          <w:rFonts w:ascii="Times New Roman" w:hAnsi="Times New Roman" w:cs="Times New Roman"/>
          <w:sz w:val="24"/>
          <w:szCs w:val="24"/>
        </w:rPr>
        <w:t>е</w:t>
      </w:r>
      <w:r w:rsidRPr="007D3411">
        <w:rPr>
          <w:rFonts w:ascii="Times New Roman" w:hAnsi="Times New Roman" w:cs="Times New Roman"/>
          <w:sz w:val="24"/>
          <w:szCs w:val="24"/>
        </w:rPr>
        <w:t>, суточно</w:t>
      </w:r>
      <w:r w:rsidR="00E25080">
        <w:rPr>
          <w:rFonts w:ascii="Times New Roman" w:hAnsi="Times New Roman" w:cs="Times New Roman"/>
          <w:sz w:val="24"/>
          <w:szCs w:val="24"/>
        </w:rPr>
        <w:t>м</w:t>
      </w:r>
      <w:r w:rsidRPr="007D3411">
        <w:rPr>
          <w:rFonts w:ascii="Times New Roman" w:hAnsi="Times New Roman" w:cs="Times New Roman"/>
          <w:sz w:val="24"/>
          <w:szCs w:val="24"/>
        </w:rPr>
        <w:t xml:space="preserve"> монитори</w:t>
      </w:r>
      <w:r w:rsidR="00911226" w:rsidRPr="007D3411">
        <w:rPr>
          <w:rFonts w:ascii="Times New Roman" w:hAnsi="Times New Roman" w:cs="Times New Roman"/>
          <w:sz w:val="24"/>
          <w:szCs w:val="24"/>
        </w:rPr>
        <w:t>нг</w:t>
      </w:r>
      <w:r w:rsidR="00E25080">
        <w:rPr>
          <w:rFonts w:ascii="Times New Roman" w:hAnsi="Times New Roman" w:cs="Times New Roman"/>
          <w:sz w:val="24"/>
          <w:szCs w:val="24"/>
        </w:rPr>
        <w:t>е</w:t>
      </w:r>
      <w:r w:rsidR="00911226" w:rsidRPr="007D3411">
        <w:rPr>
          <w:rFonts w:ascii="Times New Roman" w:hAnsi="Times New Roman" w:cs="Times New Roman"/>
          <w:sz w:val="24"/>
          <w:szCs w:val="24"/>
        </w:rPr>
        <w:t xml:space="preserve"> и</w:t>
      </w:r>
      <w:r w:rsidRPr="007D3411">
        <w:rPr>
          <w:rFonts w:ascii="Times New Roman" w:hAnsi="Times New Roman" w:cs="Times New Roman"/>
          <w:sz w:val="24"/>
          <w:szCs w:val="24"/>
        </w:rPr>
        <w:t xml:space="preserve"> пульсовой волн</w:t>
      </w:r>
      <w:r w:rsidR="00911226" w:rsidRPr="007D3411">
        <w:rPr>
          <w:rFonts w:ascii="Times New Roman" w:hAnsi="Times New Roman" w:cs="Times New Roman"/>
          <w:sz w:val="24"/>
          <w:szCs w:val="24"/>
        </w:rPr>
        <w:t>е</w:t>
      </w:r>
      <w:r w:rsidRPr="007D3411">
        <w:rPr>
          <w:rFonts w:ascii="Times New Roman" w:hAnsi="Times New Roman" w:cs="Times New Roman"/>
          <w:sz w:val="24"/>
          <w:szCs w:val="24"/>
        </w:rPr>
        <w:t>.</w:t>
      </w:r>
      <w:r w:rsidR="00911226" w:rsidRPr="007D3411">
        <w:rPr>
          <w:rFonts w:ascii="Times New Roman" w:hAnsi="Times New Roman" w:cs="Times New Roman"/>
          <w:sz w:val="24"/>
          <w:szCs w:val="24"/>
        </w:rPr>
        <w:t xml:space="preserve"> Но поиск новых решений как нельзя актуален. </w:t>
      </w:r>
    </w:p>
    <w:p w14:paraId="247DDA51" w14:textId="77777777" w:rsidR="004B2071" w:rsidRDefault="00E25080" w:rsidP="00E25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5080">
        <w:rPr>
          <w:rFonts w:ascii="Times New Roman" w:hAnsi="Times New Roman" w:cs="Times New Roman"/>
          <w:sz w:val="24"/>
          <w:szCs w:val="24"/>
        </w:rPr>
        <w:t xml:space="preserve">Так, известна технология </w:t>
      </w:r>
      <w:r w:rsidRPr="007D3411">
        <w:rPr>
          <w:rFonts w:ascii="Times New Roman" w:hAnsi="Times New Roman" w:cs="Times New Roman"/>
          <w:sz w:val="24"/>
          <w:szCs w:val="24"/>
        </w:rPr>
        <w:t>esCCO (</w:t>
      </w:r>
      <w:proofErr w:type="spellStart"/>
      <w:r w:rsidRPr="007D3411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7D3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411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7D3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411">
        <w:rPr>
          <w:rFonts w:ascii="Times New Roman" w:hAnsi="Times New Roman" w:cs="Times New Roman"/>
          <w:sz w:val="24"/>
          <w:szCs w:val="24"/>
        </w:rPr>
        <w:t>Cardiac</w:t>
      </w:r>
      <w:proofErr w:type="spellEnd"/>
      <w:r w:rsidRPr="007D3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411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Pr="007D34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5080">
        <w:rPr>
          <w:rFonts w:ascii="Times New Roman" w:hAnsi="Times New Roman" w:cs="Times New Roman"/>
          <w:sz w:val="24"/>
          <w:szCs w:val="24"/>
        </w:rPr>
        <w:t xml:space="preserve">где расчет </w:t>
      </w:r>
      <w:r>
        <w:rPr>
          <w:rFonts w:ascii="Times New Roman" w:hAnsi="Times New Roman" w:cs="Times New Roman"/>
          <w:sz w:val="24"/>
          <w:szCs w:val="24"/>
        </w:rPr>
        <w:t>величин</w:t>
      </w:r>
      <w:r w:rsidRPr="00E25080">
        <w:rPr>
          <w:rFonts w:ascii="Times New Roman" w:hAnsi="Times New Roman" w:cs="Times New Roman"/>
          <w:sz w:val="24"/>
          <w:szCs w:val="24"/>
        </w:rPr>
        <w:t xml:space="preserve"> ударного объема крови SV основан только на данных неинвазивного измерения артериального давления</w:t>
      </w:r>
      <w:r>
        <w:rPr>
          <w:rFonts w:ascii="Times New Roman" w:hAnsi="Times New Roman" w:cs="Times New Roman"/>
          <w:sz w:val="24"/>
          <w:szCs w:val="24"/>
        </w:rPr>
        <w:t xml:space="preserve"> (с помощью манжеты НИАД)</w:t>
      </w:r>
      <w:r w:rsidRPr="00E25080">
        <w:rPr>
          <w:rFonts w:ascii="Times New Roman" w:hAnsi="Times New Roman" w:cs="Times New Roman"/>
          <w:sz w:val="24"/>
          <w:szCs w:val="24"/>
        </w:rPr>
        <w:t xml:space="preserve">, электрокардиографии и </w:t>
      </w:r>
      <w:proofErr w:type="spellStart"/>
      <w:r w:rsidRPr="00E25080">
        <w:rPr>
          <w:rFonts w:ascii="Times New Roman" w:hAnsi="Times New Roman" w:cs="Times New Roman"/>
          <w:sz w:val="24"/>
          <w:szCs w:val="24"/>
        </w:rPr>
        <w:t>пульсоксиметрии</w:t>
      </w:r>
      <w:proofErr w:type="spellEnd"/>
      <w:r w:rsidRPr="00E25080">
        <w:rPr>
          <w:rFonts w:ascii="Times New Roman" w:hAnsi="Times New Roman" w:cs="Times New Roman"/>
          <w:sz w:val="24"/>
          <w:szCs w:val="24"/>
        </w:rPr>
        <w:t xml:space="preserve"> [1,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080">
        <w:rPr>
          <w:rFonts w:ascii="Times New Roman" w:hAnsi="Times New Roman" w:cs="Times New Roman"/>
          <w:sz w:val="24"/>
          <w:szCs w:val="24"/>
        </w:rPr>
        <w:t xml:space="preserve">2]. </w:t>
      </w:r>
    </w:p>
    <w:p w14:paraId="76D8F11C" w14:textId="77777777" w:rsidR="004B2071" w:rsidRPr="007D3411" w:rsidRDefault="004B2071" w:rsidP="004B20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t xml:space="preserve">В данной работе для измерений используется прикроватный монитор </w:t>
      </w:r>
      <w:proofErr w:type="spellStart"/>
      <w:r w:rsidRPr="007D3411">
        <w:rPr>
          <w:rFonts w:ascii="Times New Roman" w:hAnsi="Times New Roman" w:cs="Times New Roman"/>
          <w:sz w:val="24"/>
          <w:szCs w:val="24"/>
        </w:rPr>
        <w:t>Nihon</w:t>
      </w:r>
      <w:proofErr w:type="spellEnd"/>
      <w:r w:rsidRPr="007D3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411">
        <w:rPr>
          <w:rFonts w:ascii="Times New Roman" w:hAnsi="Times New Roman" w:cs="Times New Roman"/>
          <w:sz w:val="24"/>
          <w:szCs w:val="24"/>
        </w:rPr>
        <w:t>Kohden</w:t>
      </w:r>
      <w:proofErr w:type="spellEnd"/>
      <w:r w:rsidRPr="007D3411">
        <w:rPr>
          <w:rFonts w:ascii="Times New Roman" w:hAnsi="Times New Roman" w:cs="Times New Roman"/>
          <w:sz w:val="24"/>
          <w:szCs w:val="24"/>
        </w:rPr>
        <w:t xml:space="preserve"> BSM-3562 (рис. 1).</w:t>
      </w:r>
    </w:p>
    <w:p w14:paraId="7BA6C092" w14:textId="77777777" w:rsidR="004B2071" w:rsidRPr="007D3411" w:rsidRDefault="004B2071" w:rsidP="004B207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34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14142D73" wp14:editId="6520457B">
            <wp:extent cx="2009775" cy="1773331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5" t="10208" r="7117" b="6265"/>
                    <a:stretch/>
                  </pic:blipFill>
                  <pic:spPr bwMode="auto">
                    <a:xfrm>
                      <a:off x="0" y="0"/>
                      <a:ext cx="2020915" cy="178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36958D" w14:textId="77777777" w:rsidR="004B2071" w:rsidRPr="007D3411" w:rsidRDefault="004B2071" w:rsidP="004B2071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7D3411">
        <w:rPr>
          <w:rFonts w:ascii="Times New Roman" w:hAnsi="Times New Roman" w:cs="Times New Roman"/>
          <w:b/>
          <w:bCs/>
          <w:i/>
          <w:iCs/>
        </w:rPr>
        <w:t>Рис. 1.</w:t>
      </w:r>
      <w:r w:rsidRPr="007D3411">
        <w:rPr>
          <w:rFonts w:ascii="Times New Roman" w:hAnsi="Times New Roman" w:cs="Times New Roman"/>
        </w:rPr>
        <w:t xml:space="preserve"> Прикроватный монитор </w:t>
      </w:r>
      <w:proofErr w:type="spellStart"/>
      <w:r w:rsidRPr="007D3411">
        <w:rPr>
          <w:rFonts w:ascii="Times New Roman" w:hAnsi="Times New Roman" w:cs="Times New Roman"/>
        </w:rPr>
        <w:t>Nihon</w:t>
      </w:r>
      <w:proofErr w:type="spellEnd"/>
      <w:r w:rsidRPr="007D3411">
        <w:rPr>
          <w:rFonts w:ascii="Times New Roman" w:hAnsi="Times New Roman" w:cs="Times New Roman"/>
        </w:rPr>
        <w:t xml:space="preserve"> </w:t>
      </w:r>
      <w:proofErr w:type="spellStart"/>
      <w:r w:rsidRPr="007D3411">
        <w:rPr>
          <w:rFonts w:ascii="Times New Roman" w:hAnsi="Times New Roman" w:cs="Times New Roman"/>
        </w:rPr>
        <w:t>Kohden</w:t>
      </w:r>
      <w:proofErr w:type="spellEnd"/>
      <w:r w:rsidRPr="007D3411">
        <w:rPr>
          <w:rFonts w:ascii="Times New Roman" w:hAnsi="Times New Roman" w:cs="Times New Roman"/>
        </w:rPr>
        <w:t xml:space="preserve"> BSM-3562 (с esCCO).</w:t>
      </w:r>
    </w:p>
    <w:p w14:paraId="5C6A58AE" w14:textId="77777777" w:rsidR="004B2071" w:rsidRDefault="004B2071" w:rsidP="00E25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9B1CC61" w14:textId="11DCFF77" w:rsidR="00E25080" w:rsidRDefault="00E25080" w:rsidP="00E25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5080">
        <w:rPr>
          <w:rFonts w:ascii="Times New Roman" w:hAnsi="Times New Roman" w:cs="Times New Roman"/>
          <w:sz w:val="24"/>
          <w:szCs w:val="24"/>
        </w:rPr>
        <w:t>Предполагае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25080">
        <w:rPr>
          <w:rFonts w:ascii="Times New Roman" w:hAnsi="Times New Roman" w:cs="Times New Roman"/>
          <w:sz w:val="24"/>
          <w:szCs w:val="24"/>
        </w:rPr>
        <w:t xml:space="preserve"> наличие линейных (или имеющих удовлетворительную линейную </w:t>
      </w:r>
      <w:proofErr w:type="spellStart"/>
      <w:r w:rsidRPr="00E25080">
        <w:rPr>
          <w:rFonts w:ascii="Times New Roman" w:hAnsi="Times New Roman" w:cs="Times New Roman"/>
          <w:sz w:val="24"/>
          <w:szCs w:val="24"/>
        </w:rPr>
        <w:t>апрроксимацию</w:t>
      </w:r>
      <w:proofErr w:type="spellEnd"/>
      <w:r w:rsidRPr="00E25080">
        <w:rPr>
          <w:rFonts w:ascii="Times New Roman" w:hAnsi="Times New Roman" w:cs="Times New Roman"/>
          <w:sz w:val="24"/>
          <w:szCs w:val="24"/>
        </w:rPr>
        <w:t xml:space="preserve">) </w:t>
      </w:r>
      <w:r w:rsidR="004B2071">
        <w:rPr>
          <w:rFonts w:ascii="Times New Roman" w:hAnsi="Times New Roman" w:cs="Times New Roman"/>
          <w:sz w:val="24"/>
          <w:szCs w:val="24"/>
        </w:rPr>
        <w:t>зависимостей</w:t>
      </w:r>
      <w:r w:rsidRPr="00E25080">
        <w:rPr>
          <w:rFonts w:ascii="Times New Roman" w:hAnsi="Times New Roman" w:cs="Times New Roman"/>
          <w:sz w:val="24"/>
          <w:szCs w:val="24"/>
        </w:rPr>
        <w:t xml:space="preserve"> величин SV, пульсового давления РР и времени прохождения пульсовой волны от левого желудочка до датчика пульсоксиметра PWTT:</w:t>
      </w:r>
    </w:p>
    <w:p w14:paraId="6197F629" w14:textId="77777777" w:rsidR="004B2071" w:rsidRDefault="004B2071" w:rsidP="00E25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4DF8A05" w14:textId="69F27DF6" w:rsidR="00E25080" w:rsidRPr="00E25080" w:rsidRDefault="00E25080" w:rsidP="00E25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25080">
        <w:rPr>
          <w:rFonts w:ascii="Times New Roman" w:hAnsi="Times New Roman" w:cs="Times New Roman"/>
          <w:sz w:val="24"/>
          <w:szCs w:val="24"/>
        </w:rPr>
        <w:t xml:space="preserve">SV = </w:t>
      </w:r>
      <w:proofErr w:type="spellStart"/>
      <w:r w:rsidRPr="00E25080">
        <w:rPr>
          <w:rFonts w:ascii="Times New Roman" w:hAnsi="Times New Roman" w:cs="Times New Roman"/>
          <w:sz w:val="24"/>
          <w:szCs w:val="24"/>
        </w:rPr>
        <w:t>k∙PP</w:t>
      </w:r>
      <w:proofErr w:type="spellEnd"/>
      <w:r w:rsidRPr="00E25080">
        <w:rPr>
          <w:rFonts w:ascii="Times New Roman" w:hAnsi="Times New Roman" w:cs="Times New Roman"/>
          <w:sz w:val="24"/>
          <w:szCs w:val="24"/>
        </w:rPr>
        <w:t xml:space="preserve">, где                                                               </w:t>
      </w:r>
      <w:proofErr w:type="gramStart"/>
      <w:r w:rsidRPr="00E2508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25080">
        <w:rPr>
          <w:rFonts w:ascii="Times New Roman" w:hAnsi="Times New Roman" w:cs="Times New Roman"/>
          <w:sz w:val="24"/>
          <w:szCs w:val="24"/>
        </w:rPr>
        <w:t>1)</w:t>
      </w:r>
    </w:p>
    <w:p w14:paraId="0EBEA5B4" w14:textId="4D75D1B7" w:rsidR="00E25080" w:rsidRDefault="00E25080" w:rsidP="004B20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E25080">
        <w:rPr>
          <w:rFonts w:ascii="Times New Roman" w:hAnsi="Times New Roman" w:cs="Times New Roman"/>
          <w:sz w:val="24"/>
          <w:szCs w:val="24"/>
        </w:rPr>
        <w:t xml:space="preserve">РР = α∙PWTT+β                                                               </w:t>
      </w:r>
      <w:proofErr w:type="gramStart"/>
      <w:r w:rsidRPr="00E2508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25080">
        <w:rPr>
          <w:rFonts w:ascii="Times New Roman" w:hAnsi="Times New Roman" w:cs="Times New Roman"/>
          <w:sz w:val="24"/>
          <w:szCs w:val="24"/>
        </w:rPr>
        <w:t>2)</w:t>
      </w:r>
    </w:p>
    <w:p w14:paraId="1E5DE236" w14:textId="77777777" w:rsidR="004B2071" w:rsidRPr="00E25080" w:rsidRDefault="004B2071" w:rsidP="00E25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9D1F3D" w14:textId="77777777" w:rsidR="004B2071" w:rsidRDefault="00E25080" w:rsidP="004B20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5080">
        <w:rPr>
          <w:rFonts w:ascii="Times New Roman" w:hAnsi="Times New Roman" w:cs="Times New Roman"/>
          <w:sz w:val="24"/>
          <w:szCs w:val="24"/>
        </w:rPr>
        <w:t>где k – коэффициент, зависящий от биометрических данных пациента; α – постоянная, определенная экспериментально авторами метода; β – переменная, производная от РР.</w:t>
      </w:r>
    </w:p>
    <w:p w14:paraId="6ABF94B2" w14:textId="77777777" w:rsidR="002238D7" w:rsidRDefault="004B2071" w:rsidP="002238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2071">
        <w:rPr>
          <w:rFonts w:ascii="Times New Roman" w:hAnsi="Times New Roman" w:cs="Times New Roman"/>
          <w:sz w:val="24"/>
          <w:szCs w:val="24"/>
        </w:rPr>
        <w:t xml:space="preserve">Однако, во-первых, точное отслеживание динамики количественных значений SV возможно только после калибровки по другому методу (возможно, инвазивному). Во-вторых, динамический ряд значений PP доступен исключительно при прямом измерении (катетер в артерии). Наконец, очевидно, что PP линейно коррелирует со скоростью распространения пульсовой волны, но никак не с её обратной величиной </w:t>
      </w:r>
      <w:r w:rsidRPr="004B2071">
        <w:rPr>
          <w:rFonts w:ascii="Times New Roman" w:hAnsi="Times New Roman" w:cs="Times New Roman"/>
          <w:sz w:val="24"/>
          <w:szCs w:val="24"/>
          <w:lang w:val="en-US"/>
        </w:rPr>
        <w:t>PWTT</w:t>
      </w:r>
      <w:r w:rsidRPr="004B2071">
        <w:rPr>
          <w:rFonts w:ascii="Times New Roman" w:hAnsi="Times New Roman" w:cs="Times New Roman"/>
          <w:sz w:val="24"/>
          <w:szCs w:val="24"/>
        </w:rPr>
        <w:t>.</w:t>
      </w:r>
    </w:p>
    <w:p w14:paraId="351875CE" w14:textId="6D04C327" w:rsidR="004B2071" w:rsidRDefault="004B2071" w:rsidP="002238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2071">
        <w:rPr>
          <w:rFonts w:ascii="Times New Roman" w:hAnsi="Times New Roman" w:cs="Times New Roman"/>
          <w:sz w:val="24"/>
          <w:szCs w:val="24"/>
        </w:rPr>
        <w:t xml:space="preserve">Исходя из этого, мы исследуем возможность оценки сердечного выброса на основе двух параметров, получаемых исключительно неинвазивно: PWTT и площади S под первым максимумом </w:t>
      </w:r>
      <w:proofErr w:type="spellStart"/>
      <w:r w:rsidRPr="004B2071">
        <w:rPr>
          <w:rFonts w:ascii="Times New Roman" w:hAnsi="Times New Roman" w:cs="Times New Roman"/>
          <w:sz w:val="24"/>
          <w:szCs w:val="24"/>
        </w:rPr>
        <w:t>сфигмографической</w:t>
      </w:r>
      <w:proofErr w:type="spellEnd"/>
      <w:r w:rsidRPr="004B2071">
        <w:rPr>
          <w:rFonts w:ascii="Times New Roman" w:hAnsi="Times New Roman" w:cs="Times New Roman"/>
          <w:sz w:val="24"/>
          <w:szCs w:val="24"/>
        </w:rPr>
        <w:t xml:space="preserve"> кривой (кривая объемного пульса, например, </w:t>
      </w:r>
      <w:proofErr w:type="spellStart"/>
      <w:r w:rsidRPr="004B2071">
        <w:rPr>
          <w:rFonts w:ascii="Times New Roman" w:hAnsi="Times New Roman" w:cs="Times New Roman"/>
          <w:sz w:val="24"/>
          <w:szCs w:val="24"/>
        </w:rPr>
        <w:t>пульсоксиметрической</w:t>
      </w:r>
      <w:proofErr w:type="spellEnd"/>
      <w:r w:rsidRPr="004B2071">
        <w:rPr>
          <w:rFonts w:ascii="Times New Roman" w:hAnsi="Times New Roman" w:cs="Times New Roman"/>
          <w:sz w:val="24"/>
          <w:szCs w:val="24"/>
        </w:rPr>
        <w:t xml:space="preserve">) от начала </w:t>
      </w:r>
      <w:proofErr w:type="spellStart"/>
      <w:r w:rsidRPr="004B2071">
        <w:rPr>
          <w:rFonts w:ascii="Times New Roman" w:hAnsi="Times New Roman" w:cs="Times New Roman"/>
          <w:sz w:val="24"/>
          <w:szCs w:val="24"/>
        </w:rPr>
        <w:t>анакроты</w:t>
      </w:r>
      <w:proofErr w:type="spellEnd"/>
      <w:r w:rsidRPr="004B2071">
        <w:rPr>
          <w:rFonts w:ascii="Times New Roman" w:hAnsi="Times New Roman" w:cs="Times New Roman"/>
          <w:sz w:val="24"/>
          <w:szCs w:val="24"/>
        </w:rPr>
        <w:t xml:space="preserve"> до дикротической </w:t>
      </w:r>
      <w:proofErr w:type="spellStart"/>
      <w:r w:rsidRPr="004B2071">
        <w:rPr>
          <w:rFonts w:ascii="Times New Roman" w:hAnsi="Times New Roman" w:cs="Times New Roman"/>
          <w:sz w:val="24"/>
          <w:szCs w:val="24"/>
        </w:rPr>
        <w:t>инцизуры</w:t>
      </w:r>
      <w:proofErr w:type="spellEnd"/>
      <w:r w:rsidRPr="004B2071">
        <w:rPr>
          <w:rFonts w:ascii="Times New Roman" w:hAnsi="Times New Roman" w:cs="Times New Roman"/>
          <w:sz w:val="24"/>
          <w:szCs w:val="24"/>
        </w:rPr>
        <w:t xml:space="preserve">. Как отмечено ранее, PWTT обратно пропорционален SV, в то время как S связан с ним линейно. Таким образом, для каждого </w:t>
      </w:r>
      <w:proofErr w:type="spellStart"/>
      <w:r w:rsidRPr="004B2071">
        <w:rPr>
          <w:rFonts w:ascii="Times New Roman" w:hAnsi="Times New Roman" w:cs="Times New Roman"/>
          <w:sz w:val="24"/>
          <w:szCs w:val="24"/>
        </w:rPr>
        <w:t>кардиоцикла</w:t>
      </w:r>
      <w:proofErr w:type="spellEnd"/>
      <w:r w:rsidRPr="004B2071">
        <w:rPr>
          <w:rFonts w:ascii="Times New Roman" w:hAnsi="Times New Roman" w:cs="Times New Roman"/>
          <w:sz w:val="24"/>
          <w:szCs w:val="24"/>
        </w:rPr>
        <w:t xml:space="preserve"> с порядковым номером n,</w:t>
      </w:r>
    </w:p>
    <w:p w14:paraId="413F1031" w14:textId="77777777" w:rsidR="004B2071" w:rsidRPr="004B2071" w:rsidRDefault="004B2071" w:rsidP="004B20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1B4E3F2" w14:textId="423AFCE7" w:rsidR="004B2071" w:rsidRPr="004B2071" w:rsidRDefault="004B2071" w:rsidP="004B20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4B2071">
        <w:rPr>
          <w:rFonts w:ascii="Times New Roman" w:hAnsi="Times New Roman" w:cs="Times New Roman"/>
          <w:sz w:val="24"/>
          <w:szCs w:val="24"/>
        </w:rPr>
        <w:t>SVn</w:t>
      </w:r>
      <w:proofErr w:type="spellEnd"/>
      <w:r w:rsidRPr="004B207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B2071">
        <w:rPr>
          <w:rFonts w:ascii="Times New Roman" w:hAnsi="Times New Roman" w:cs="Times New Roman"/>
          <w:sz w:val="24"/>
          <w:szCs w:val="24"/>
        </w:rPr>
        <w:t>a∙Sn</w:t>
      </w:r>
      <w:proofErr w:type="spellEnd"/>
      <w:r w:rsidRPr="004B2071">
        <w:rPr>
          <w:rFonts w:ascii="Times New Roman" w:hAnsi="Times New Roman" w:cs="Times New Roman"/>
          <w:sz w:val="24"/>
          <w:szCs w:val="24"/>
        </w:rPr>
        <w:t xml:space="preserve"> + b = c/</w:t>
      </w:r>
      <w:proofErr w:type="spellStart"/>
      <w:r w:rsidRPr="004B2071">
        <w:rPr>
          <w:rFonts w:ascii="Times New Roman" w:hAnsi="Times New Roman" w:cs="Times New Roman"/>
          <w:sz w:val="24"/>
          <w:szCs w:val="24"/>
        </w:rPr>
        <w:t>PWTTn</w:t>
      </w:r>
      <w:proofErr w:type="spellEnd"/>
      <w:r w:rsidRPr="004B2071">
        <w:rPr>
          <w:rFonts w:ascii="Times New Roman" w:hAnsi="Times New Roman" w:cs="Times New Roman"/>
          <w:sz w:val="24"/>
          <w:szCs w:val="24"/>
        </w:rPr>
        <w:t xml:space="preserve"> + d, или                                          </w:t>
      </w:r>
      <w:proofErr w:type="gramStart"/>
      <w:r w:rsidRPr="004B207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B2071">
        <w:rPr>
          <w:rFonts w:ascii="Times New Roman" w:hAnsi="Times New Roman" w:cs="Times New Roman"/>
          <w:sz w:val="24"/>
          <w:szCs w:val="24"/>
        </w:rPr>
        <w:t>3)</w:t>
      </w:r>
    </w:p>
    <w:p w14:paraId="4399BFE9" w14:textId="7FF25703" w:rsidR="004B2071" w:rsidRPr="004B2071" w:rsidRDefault="004B2071" w:rsidP="004B20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468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4B2071">
        <w:rPr>
          <w:rFonts w:ascii="Times New Roman" w:hAnsi="Times New Roman" w:cs="Times New Roman"/>
          <w:sz w:val="24"/>
          <w:szCs w:val="24"/>
          <w:lang w:val="en-US"/>
        </w:rPr>
        <w:t>a∙Sn</w:t>
      </w:r>
      <w:proofErr w:type="spellEnd"/>
      <w:r w:rsidRPr="004B2071">
        <w:rPr>
          <w:rFonts w:ascii="Times New Roman" w:hAnsi="Times New Roman" w:cs="Times New Roman"/>
          <w:sz w:val="24"/>
          <w:szCs w:val="24"/>
          <w:lang w:val="en-US"/>
        </w:rPr>
        <w:t xml:space="preserve"> + b – c/</w:t>
      </w:r>
      <w:proofErr w:type="spellStart"/>
      <w:r w:rsidRPr="004B2071">
        <w:rPr>
          <w:rFonts w:ascii="Times New Roman" w:hAnsi="Times New Roman" w:cs="Times New Roman"/>
          <w:sz w:val="24"/>
          <w:szCs w:val="24"/>
          <w:lang w:val="en-US"/>
        </w:rPr>
        <w:t>PWTTn</w:t>
      </w:r>
      <w:proofErr w:type="spellEnd"/>
      <w:r w:rsidRPr="004B2071">
        <w:rPr>
          <w:rFonts w:ascii="Times New Roman" w:hAnsi="Times New Roman" w:cs="Times New Roman"/>
          <w:sz w:val="24"/>
          <w:szCs w:val="24"/>
          <w:lang w:val="en-US"/>
        </w:rPr>
        <w:t xml:space="preserve"> – d = </w:t>
      </w:r>
      <w:proofErr w:type="gramStart"/>
      <w:r w:rsidRPr="004B2071">
        <w:rPr>
          <w:rFonts w:ascii="Times New Roman" w:hAnsi="Times New Roman" w:cs="Times New Roman"/>
          <w:sz w:val="24"/>
          <w:szCs w:val="24"/>
          <w:lang w:val="en-US"/>
        </w:rPr>
        <w:t xml:space="preserve">0,   </w:t>
      </w:r>
      <w:proofErr w:type="gramEnd"/>
      <w:r w:rsidRPr="004B20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(4)</w:t>
      </w:r>
    </w:p>
    <w:p w14:paraId="01B3CA9A" w14:textId="77777777" w:rsidR="004B2071" w:rsidRPr="0031468B" w:rsidRDefault="004B2071" w:rsidP="004B20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1E639A" w14:textId="14DD574B" w:rsidR="004B2071" w:rsidRDefault="004B2071" w:rsidP="004B20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B2071">
        <w:rPr>
          <w:rFonts w:ascii="Times New Roman" w:hAnsi="Times New Roman" w:cs="Times New Roman"/>
          <w:sz w:val="24"/>
          <w:szCs w:val="24"/>
        </w:rPr>
        <w:t xml:space="preserve">где a и с – коэффициенты пропорциональности, b и d – свободные члены уравнений, зависящие от импеданса большого круга кровообращения и неизменные на протяжении нескольких последовательных </w:t>
      </w:r>
      <w:proofErr w:type="spellStart"/>
      <w:r w:rsidRPr="004B2071">
        <w:rPr>
          <w:rFonts w:ascii="Times New Roman" w:hAnsi="Times New Roman" w:cs="Times New Roman"/>
          <w:sz w:val="24"/>
          <w:szCs w:val="24"/>
        </w:rPr>
        <w:t>кардиоциклов</w:t>
      </w:r>
      <w:proofErr w:type="spellEnd"/>
      <w:r w:rsidRPr="004B2071">
        <w:rPr>
          <w:rFonts w:ascii="Times New Roman" w:hAnsi="Times New Roman" w:cs="Times New Roman"/>
          <w:sz w:val="24"/>
          <w:szCs w:val="24"/>
        </w:rPr>
        <w:t>.</w:t>
      </w:r>
    </w:p>
    <w:p w14:paraId="4F7C09AB" w14:textId="13B98290" w:rsidR="002238D7" w:rsidRPr="002238D7" w:rsidRDefault="002238D7" w:rsidP="002238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8D7">
        <w:rPr>
          <w:rFonts w:ascii="Times New Roman" w:hAnsi="Times New Roman" w:cs="Times New Roman"/>
          <w:sz w:val="24"/>
          <w:szCs w:val="24"/>
        </w:rPr>
        <w:t xml:space="preserve">При этом необходимо отметить, что между формой пульсовой волны (площадью по первым максимумом) и значением PWTT существует нелинейная зависимость. Поэтому на первом </w:t>
      </w:r>
      <w:proofErr w:type="spellStart"/>
      <w:r w:rsidRPr="002238D7">
        <w:rPr>
          <w:rFonts w:ascii="Times New Roman" w:hAnsi="Times New Roman" w:cs="Times New Roman"/>
          <w:sz w:val="24"/>
          <w:szCs w:val="24"/>
        </w:rPr>
        <w:t>кардиоцикле</w:t>
      </w:r>
      <w:proofErr w:type="spellEnd"/>
      <w:r w:rsidRPr="002238D7">
        <w:rPr>
          <w:rFonts w:ascii="Times New Roman" w:hAnsi="Times New Roman" w:cs="Times New Roman"/>
          <w:sz w:val="24"/>
          <w:szCs w:val="24"/>
        </w:rPr>
        <w:t xml:space="preserve"> выражение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238D7">
        <w:rPr>
          <w:rFonts w:ascii="Times New Roman" w:hAnsi="Times New Roman" w:cs="Times New Roman"/>
          <w:sz w:val="24"/>
          <w:szCs w:val="24"/>
        </w:rPr>
        <w:t xml:space="preserve">) будем считать достоверным, а последующих </w:t>
      </w:r>
      <w:proofErr w:type="spellStart"/>
      <w:r w:rsidRPr="002238D7">
        <w:rPr>
          <w:rFonts w:ascii="Times New Roman" w:hAnsi="Times New Roman" w:cs="Times New Roman"/>
          <w:sz w:val="24"/>
          <w:szCs w:val="24"/>
        </w:rPr>
        <w:t>кардиоциклах</w:t>
      </w:r>
      <w:proofErr w:type="spellEnd"/>
      <w:r w:rsidRPr="002238D7">
        <w:rPr>
          <w:rFonts w:ascii="Times New Roman" w:hAnsi="Times New Roman" w:cs="Times New Roman"/>
          <w:sz w:val="24"/>
          <w:szCs w:val="24"/>
        </w:rPr>
        <w:t xml:space="preserve"> в выражение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238D7">
        <w:rPr>
          <w:rFonts w:ascii="Times New Roman" w:hAnsi="Times New Roman" w:cs="Times New Roman"/>
          <w:sz w:val="24"/>
          <w:szCs w:val="24"/>
        </w:rPr>
        <w:t>) вместо нуля подставляется значение Сn-1, связанное с отмеченной нелинейностью. Далее рассмотрим систему из четырех уравнений (n = 1…4).</w:t>
      </w:r>
    </w:p>
    <w:p w14:paraId="449E9490" w14:textId="4ED2774C" w:rsidR="002238D7" w:rsidRDefault="002238D7" w:rsidP="002238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B378628" w14:textId="2BECC24E" w:rsidR="002238D7" w:rsidRPr="002238D7" w:rsidRDefault="002238D7" w:rsidP="002238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8D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+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–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PWTT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–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= 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+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–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PWTT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–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+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–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PWTT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–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+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–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PWTT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–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e>
            </m:eqArr>
          </m:e>
        </m:d>
      </m:oMath>
      <w:proofErr w:type="gramStart"/>
      <w:r w:rsidRPr="002238D7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w:proofErr w:type="gramEnd"/>
      <w:r w:rsidRPr="002238D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(5)</w:t>
      </w:r>
    </w:p>
    <w:p w14:paraId="7971B83B" w14:textId="77777777" w:rsidR="002238D7" w:rsidRPr="002238D7" w:rsidRDefault="002238D7" w:rsidP="002238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6A91CB" w14:textId="5F2CC06B" w:rsidR="002238D7" w:rsidRPr="002238D7" w:rsidRDefault="002238D7" w:rsidP="002238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8D7">
        <w:rPr>
          <w:rFonts w:ascii="Times New Roman" w:hAnsi="Times New Roman" w:cs="Times New Roman"/>
          <w:sz w:val="24"/>
          <w:szCs w:val="24"/>
        </w:rPr>
        <w:t xml:space="preserve">В системе из четырех уравнений семь неизвестных. При увеличении системы уравнений до 5 и более, число неизвестных увеличивается на число увеличенных уравнений. В данной ситуации возможно только математическое моделирование с дальнейшем сравнением с экспериментальным измерением ударного объема (сердечного выброса) SV.  </w:t>
      </w:r>
    </w:p>
    <w:p w14:paraId="1368918F" w14:textId="1AE06352" w:rsidR="007D3411" w:rsidRPr="0031468B" w:rsidRDefault="007D3411" w:rsidP="002238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24B27" w14:textId="77777777" w:rsidR="007038F7" w:rsidRPr="007D3411" w:rsidRDefault="007038F7" w:rsidP="007038F7">
      <w:pPr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D34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14:paraId="44F9CEC4" w14:textId="77777777" w:rsidR="007038F7" w:rsidRPr="007D3411" w:rsidRDefault="007038F7" w:rsidP="007038F7">
      <w:pPr>
        <w:pStyle w:val="a7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50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Bataille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B. Comparison of esCCO and transthoracic echocardiography for non-invasive measurement of cardiac output intensive care / B. Bataille, M.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Bertuit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M. Mora, M.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Mazerolles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Cocquet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B. Masson, P.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Moussot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J. Ginot, S. Silva, J.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Larché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 J. // British Journal of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Anaesthesia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. - 2012. –  Vol. 109(6) – S. 879-88. </w:t>
      </w:r>
    </w:p>
    <w:p w14:paraId="3E7E0680" w14:textId="77777777" w:rsidR="007038F7" w:rsidRPr="007D3411" w:rsidRDefault="007038F7" w:rsidP="007038F7">
      <w:pPr>
        <w:pStyle w:val="a7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Biais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M. Ability of esCCO to track changes in cardiac output / M.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Biais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Berthezène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L. Petit, V.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Cottenceau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F. Sztark   // British Journal of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Anaesthesia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. - 2015. – Vol. 115(3) </w:t>
      </w:r>
      <w:proofErr w:type="gramStart"/>
      <w:r w:rsidRPr="007D3411">
        <w:rPr>
          <w:rFonts w:ascii="Times New Roman" w:hAnsi="Times New Roman" w:cs="Times New Roman"/>
          <w:sz w:val="24"/>
          <w:szCs w:val="24"/>
          <w:lang w:val="en-US"/>
        </w:rPr>
        <w:t>–  P.</w:t>
      </w:r>
      <w:proofErr w:type="gram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 403-410.</w:t>
      </w:r>
    </w:p>
    <w:p w14:paraId="3673FCB4" w14:textId="77777777" w:rsidR="007038F7" w:rsidRPr="007038F7" w:rsidRDefault="007038F7" w:rsidP="00703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038F7" w:rsidRPr="007038F7" w:rsidSect="003E505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1"/>
    <w:rsid w:val="000A1FA5"/>
    <w:rsid w:val="00164306"/>
    <w:rsid w:val="002238D7"/>
    <w:rsid w:val="00314391"/>
    <w:rsid w:val="0031468B"/>
    <w:rsid w:val="00350C60"/>
    <w:rsid w:val="003D7CC8"/>
    <w:rsid w:val="003E5059"/>
    <w:rsid w:val="004B2071"/>
    <w:rsid w:val="007038F7"/>
    <w:rsid w:val="007A682E"/>
    <w:rsid w:val="007D3411"/>
    <w:rsid w:val="008951DB"/>
    <w:rsid w:val="00911226"/>
    <w:rsid w:val="00AF6C7C"/>
    <w:rsid w:val="00E2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3682"/>
  <w15:chartTrackingRefBased/>
  <w15:docId w15:val="{CC000B57-8A1E-4160-AABC-7C31A09F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3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3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3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3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3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3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3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3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3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3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439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38F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38F7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223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orfirieva.ev@edu.spb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Порфирьева</dc:creator>
  <cp:keywords/>
  <dc:description/>
  <cp:lastModifiedBy>Елена Порфирьева</cp:lastModifiedBy>
  <cp:revision>3</cp:revision>
  <dcterms:created xsi:type="dcterms:W3CDTF">2026-03-01T20:43:00Z</dcterms:created>
  <dcterms:modified xsi:type="dcterms:W3CDTF">2026-03-02T11:01:00Z</dcterms:modified>
</cp:coreProperties>
</file>