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ind w:right="-30"/>
        <w:jc w:val="center"/>
        <w:rPr>
          <w:rFonts w:ascii="Times New Roman" w:hAnsi="Times New Roman" w:eastAsia="Times New Roman" w:cs="Times New Roman"/>
          <w:b/>
          <w:bCs/>
          <w:i/>
          <w:i/>
          <w:iCs/>
          <w:color w:val="000000"/>
        </w:rPr>
      </w:pPr>
      <w:r>
        <w:rPr>
          <w:rFonts w:eastAsia="Times New Roman" w:cs="Times New Roman" w:ascii="Times New Roman" w:hAnsi="Times New Roman"/>
          <w:b/>
          <w:bCs/>
          <w:highlight w:val="white"/>
        </w:rPr>
        <w:t xml:space="preserve">Первое экспериментальное </w:t>
      </w:r>
      <w:r>
        <w:rPr>
          <w:rFonts w:eastAsia="Times New Roman" w:cs="Times New Roman" w:ascii="Times New Roman" w:hAnsi="Times New Roman"/>
          <w:b/>
          <w:bCs/>
          <w:i/>
          <w:iCs/>
          <w:highlight w:val="white"/>
        </w:rPr>
        <w:t>ex vivo</w:t>
      </w:r>
      <w:r>
        <w:rPr>
          <w:rFonts w:eastAsia="Times New Roman" w:cs="Times New Roman" w:ascii="Times New Roman" w:hAnsi="Times New Roman"/>
          <w:b/>
          <w:bCs/>
          <w:highlight w:val="white"/>
        </w:rPr>
        <w:t xml:space="preserve"> исследование механического разрушения узлового коллоидного зоба методом гистотрипсии с кипением</w:t>
      </w:r>
    </w:p>
    <w:p>
      <w:pPr>
        <w:pStyle w:val="Normal"/>
        <w:pBdr/>
        <w:ind w:right="-30"/>
        <w:jc w:val="center"/>
        <w:rPr>
          <w:rFonts w:ascii="Times New Roman" w:hAnsi="Times New Roman" w:eastAsia="Times New Roman" w:cs="Times New Roman"/>
          <w:vertAlign w:val="superscript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Савин И.А.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vertAlign w:val="superscript"/>
        </w:rPr>
        <w:t>1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, Пономарчук Е.М.</w:t>
      </w:r>
      <w:r>
        <w:rPr>
          <w:rFonts w:eastAsia="Times New Roman" w:cs="Times New Roman" w:ascii="Times New Roman" w:hAnsi="Times New Roman"/>
          <w:b/>
          <w:bCs/>
          <w:i/>
          <w:iCs/>
          <w:vertAlign w:val="superscript"/>
        </w:rPr>
        <w:t>2</w:t>
      </w:r>
      <w:r>
        <w:rPr>
          <w:rFonts w:eastAsia="Times New Roman" w:cs="Times New Roman" w:ascii="Times New Roman" w:hAnsi="Times New Roman"/>
          <w:b/>
          <w:bCs/>
          <w:i/>
          <w:iCs/>
        </w:rPr>
        <w:t>, Хохлова В.А.</w:t>
      </w:r>
      <w:r>
        <w:rPr>
          <w:rFonts w:eastAsia="Times New Roman" w:cs="Times New Roman" w:ascii="Times New Roman" w:hAnsi="Times New Roman"/>
          <w:b/>
          <w:bCs/>
          <w:i/>
          <w:iCs/>
          <w:vertAlign w:val="superscript"/>
        </w:rPr>
        <w:t>3</w:t>
      </w:r>
    </w:p>
    <w:p>
      <w:pPr>
        <w:pStyle w:val="Normal"/>
        <w:pBdr/>
        <w:ind w:right="-30"/>
        <w:jc w:val="center"/>
        <w:rPr>
          <w:rFonts w:ascii="Times New Roman" w:hAnsi="Times New Roman" w:eastAsia="Times New Roman" w:cs="Times New Roman"/>
          <w:i/>
          <w:i/>
          <w:iCs/>
          <w:color w:val="353535"/>
        </w:rPr>
      </w:pPr>
      <w:r>
        <w:rPr>
          <w:rFonts w:eastAsia="Times New Roman" w:cs="Times New Roman" w:ascii="Times New Roman" w:hAnsi="Times New Roman"/>
          <w:vertAlign w:val="superscript"/>
        </w:rPr>
        <w:t>1</w:t>
      </w:r>
      <w:r>
        <w:rPr>
          <w:rFonts w:eastAsia="Times New Roman" w:cs="Times New Roman" w:ascii="Times New Roman" w:hAnsi="Times New Roman"/>
          <w:i/>
          <w:iCs/>
          <w:color w:val="353535"/>
        </w:rPr>
        <w:t xml:space="preserve">Студент, </w:t>
      </w:r>
      <w:r>
        <w:rPr>
          <w:rFonts w:eastAsia="Times New Roman" w:cs="Times New Roman" w:ascii="Times New Roman" w:hAnsi="Times New Roman"/>
          <w:b/>
          <w:bCs/>
          <w:i/>
          <w:iCs/>
          <w:vertAlign w:val="superscript"/>
        </w:rPr>
        <w:t>2</w:t>
      </w:r>
      <w:r>
        <w:rPr>
          <w:rFonts w:eastAsia="Times New Roman" w:cs="Times New Roman" w:ascii="Times New Roman" w:hAnsi="Times New Roman"/>
          <w:i/>
          <w:iCs/>
          <w:color w:val="353535"/>
        </w:rPr>
        <w:t xml:space="preserve">младший научный сотрудник, </w:t>
      </w:r>
      <w:r>
        <w:rPr>
          <w:rFonts w:eastAsia="Times New Roman" w:cs="Times New Roman" w:ascii="Times New Roman" w:hAnsi="Times New Roman"/>
          <w:b/>
          <w:bCs/>
          <w:i/>
          <w:iCs/>
          <w:vertAlign w:val="superscript"/>
        </w:rPr>
        <w:t>3</w:t>
      </w:r>
      <w:r>
        <w:rPr>
          <w:rFonts w:eastAsia="Times New Roman" w:cs="Times New Roman" w:ascii="Times New Roman" w:hAnsi="Times New Roman"/>
          <w:i/>
          <w:iCs/>
          <w:color w:val="353535"/>
        </w:rPr>
        <w:t>доцент</w:t>
      </w:r>
    </w:p>
    <w:p>
      <w:pPr>
        <w:pStyle w:val="Normal"/>
        <w:pBdr/>
        <w:ind w:right="-30"/>
        <w:jc w:val="center"/>
        <w:rPr>
          <w:rFonts w:ascii="Times New Roman" w:hAnsi="Times New Roman" w:eastAsia="Times New Roman" w:cs="Times New Roman"/>
          <w:i/>
          <w:i/>
          <w:iCs/>
          <w:highlight w:val="white"/>
          <w:lang w:val="en-US"/>
        </w:rPr>
      </w:pPr>
      <w:r>
        <w:rPr>
          <w:rFonts w:eastAsia="Times New Roman" w:cs="Times New Roman" w:ascii="Times New Roman" w:hAnsi="Times New Roman"/>
          <w:i/>
          <w:iCs/>
          <w:color w:val="353535"/>
        </w:rPr>
        <w:t>Московский государственный университет имени М.В.Ломоносова, </w:t>
        <w:br/>
        <w:t>физический факультет, Москва, Россия</w:t>
      </w:r>
    </w:p>
    <w:p>
      <w:pPr>
        <w:pStyle w:val="Normal"/>
        <w:pBdr/>
        <w:ind w:right="-30"/>
        <w:jc w:val="center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i/>
          <w:iCs/>
          <w:highlight w:val="white"/>
          <w:lang w:val="en-US"/>
        </w:rPr>
        <w:t>E–mail: lego.comis@yandex.ru</w:t>
      </w:r>
    </w:p>
    <w:p>
      <w:pPr>
        <w:pStyle w:val="Normal"/>
        <w:ind w:right="-1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   </w:t>
      </w:r>
      <w:r>
        <w:rPr>
          <w:rFonts w:eastAsia="Times New Roman" w:cs="Times New Roman" w:ascii="Times New Roman" w:hAnsi="Times New Roman"/>
          <w:highlight w:val="white"/>
        </w:rPr>
        <w:t>У 30–67% взрослого населения при УЗИ щитовидной железы (</w:t>
      </w:r>
      <w:r>
        <w:rPr>
          <w:rFonts w:eastAsia="Times New Roman" w:cs="Times New Roman" w:ascii="Times New Roman" w:hAnsi="Times New Roman"/>
        </w:rPr>
        <w:t>ЩЖ</w:t>
      </w:r>
      <w:r>
        <w:rPr>
          <w:rFonts w:eastAsia="Times New Roman" w:cs="Times New Roman" w:ascii="Times New Roman" w:hAnsi="Times New Roman"/>
          <w:highlight w:val="white"/>
        </w:rPr>
        <w:t xml:space="preserve">) выявляются узловые образования, 90–95% которых доброкачественны и представляют собой узловой коллоидный зоб </w:t>
      </w:r>
      <w:r>
        <w:rPr>
          <w:rFonts w:eastAsia="Times New Roman" w:cs="Times New Roman" w:ascii="Times New Roman" w:hAnsi="Times New Roman"/>
        </w:rPr>
        <w:t xml:space="preserve">(состоящий из вязкого белкового вещества) </w:t>
      </w:r>
      <w:r>
        <w:rPr>
          <w:rFonts w:eastAsia="Roboto" w:cs="Roboto" w:ascii="Roboto" w:hAnsi="Roboto"/>
          <w:color w:val="444746"/>
          <w:sz w:val="21"/>
          <w:szCs w:val="21"/>
        </w:rPr>
        <w:t>–</w:t>
      </w:r>
      <w:r>
        <w:rPr>
          <w:rFonts w:eastAsia="Times New Roman" w:cs="Times New Roman" w:ascii="Times New Roman" w:hAnsi="Times New Roman"/>
        </w:rPr>
        <w:t xml:space="preserve"> результат неконтролируемого разрастания ткани ЩЖ [2</w:t>
      </w:r>
      <w:r>
        <w:rPr>
          <w:rFonts w:eastAsia="Times New Roman" w:cs="Times New Roman" w:ascii="Times New Roman" w:hAnsi="Times New Roman"/>
          <w:highlight w:val="white"/>
        </w:rPr>
        <w:t>]. Узловой зоб может вызывать компрессионный синдром и косметический дефект, а также осложняться функциональной автономией с развитием тиреотоксикоза, что приводит к мерцательной аритмии, сердечной недостаточности, тромбоэмболиям, остеопорозу и др. [3].</w:t>
      </w:r>
    </w:p>
    <w:p>
      <w:pPr>
        <w:pStyle w:val="Normal"/>
        <w:ind w:firstLine="390" w:right="-1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Основным методом лечения узлового зоба остается хирургическая резекция </w:t>
      </w:r>
      <w:r>
        <w:rPr>
          <w:rFonts w:eastAsia="Roboto" w:cs="Roboto" w:ascii="Roboto" w:hAnsi="Roboto"/>
          <w:color w:val="444746"/>
          <w:sz w:val="21"/>
          <w:szCs w:val="21"/>
        </w:rPr>
        <w:t>–</w:t>
      </w:r>
      <w:r>
        <w:rPr>
          <w:rFonts w:eastAsia="Times New Roman" w:cs="Times New Roman" w:ascii="Times New Roman" w:hAnsi="Times New Roman"/>
        </w:rPr>
        <w:t xml:space="preserve"> частичное или полное удаление ЩЖ [1]. Однако подобное вмешательство сопряжено с риском осложнений: повреждение гортанного нерва, послеоперационный гипопаратиреоз, кровотечения или инфекционные осложнения. В качестве альтернативы все чаще используются малоинвазивные методы абляции: радиочастотная, лазерная и микроволновая абляция [5], и высокоинтенсивный фокусированный ультразвук (HIFU), основанные на локальном прижигании целевой области. Однако точность любой тепловой абляции ограничена из-за диффузии тепла в окружающие ткани, повышающей риск термического повреждения близлежащих органов (трахеи, пищевода, возвратного нерва, паращитовидных желез), а абляция крупных или гетерогенных узлов часто требует многократных сеансов [5].</w:t>
      </w:r>
    </w:p>
    <w:p>
      <w:pPr>
        <w:pStyle w:val="Normal"/>
        <w:ind w:firstLine="390" w:right="-1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Принципиально другим подходом является метод гистотрипсии с кипением (ГК), разрабатываемый в МГУ и использующий миллисекундные ультразвуковые импульсы, вызывающие в фокусе сверхбыстрое локальное вскипание и последующее механическое разрушение клеточных структур [4]. Ключевыми преимуществами ГК по сравнению с тепловой абляцией является отсутствие термического повреждения ткани, возможность контроля области воздействия по данным УЗИ и адаптация параметров облучения под конкретные характеристики ткани. Проведенные работы по разрушению тимуса свиней как модели ЩЖ другим типом гистотрипсии (кавитационной) указывают на безопасность и актуальность такого подхода, однако работ по разрушению ткани самого узлового зоба еще не было проведено [6].</w:t>
      </w:r>
    </w:p>
    <w:p>
      <w:pPr>
        <w:pStyle w:val="Normal"/>
        <w:ind w:firstLine="390" w:right="-1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Целью данной работы являлось первое экспериментальное </w:t>
      </w:r>
      <w:r>
        <w:rPr>
          <w:rFonts w:eastAsia="Times New Roman" w:cs="Times New Roman" w:ascii="Times New Roman" w:hAnsi="Times New Roman"/>
          <w:i/>
          <w:iCs/>
        </w:rPr>
        <w:t>ex vivo</w:t>
      </w:r>
      <w:r>
        <w:rPr>
          <w:rFonts w:eastAsia="Times New Roman" w:cs="Times New Roman" w:ascii="Times New Roman" w:hAnsi="Times New Roman"/>
        </w:rPr>
        <w:t xml:space="preserve"> исследование возможности механического разрушения ткани доброкачественного узлового зоба щитовидной железы человека методом гистотрипсии с кипением и первичный анализ влияния параметров воздействия на характер получаемых разрушений.</w:t>
      </w:r>
    </w:p>
    <w:p>
      <w:pPr>
        <w:pStyle w:val="Normal"/>
        <w:spacing w:before="0" w:after="120"/>
        <w:ind w:firstLine="391" w:right="-17"/>
        <w:jc w:val="both"/>
        <w:rPr/>
      </w:pPr>
      <w:r>
        <w:rPr>
          <w:rFonts w:eastAsia="Times New Roman" w:cs="Times New Roman" w:ascii="Times New Roman" w:hAnsi="Times New Roman"/>
        </w:rPr>
        <w:t xml:space="preserve">Для эксперимента использовались </w:t>
      </w:r>
      <w:r>
        <w:rPr>
          <w:rFonts w:eastAsia="Times New Roman" w:cs="Times New Roman" w:ascii="Times New Roman" w:hAnsi="Times New Roman"/>
          <w:i/>
          <w:iCs/>
        </w:rPr>
        <w:t>N</w:t>
      </w:r>
      <w:r>
        <w:rPr>
          <w:rFonts w:eastAsia="Times New Roman" w:cs="Times New Roman" w:ascii="Times New Roman" w:hAnsi="Times New Roman"/>
        </w:rPr>
        <w:t>=4 образца хирургически удаленных узлов ЩЖ пациенток 78, 69 и 40 лет (архивный материал, ЛЭК не требуется). Методом эластографии сдвиговой волной измерялась жесткость образцов как показатель устойчивости к механическому разрушению. Измерения проводились на аппарате Canon Aplio i800 датчиком SL15-4 в круглых областях диаметром 4 мм. Для дальнейшего ГК-воздействия препараты иссекались на образцы размером до 4</w:t>
      </w:r>
      <w:r>
        <w:rPr>
          <w:rFonts w:eastAsia="Roboto" w:cs="Roboto" w:ascii="Roboto" w:hAnsi="Roboto"/>
          <w:i/>
          <w:iCs/>
          <w:color w:val="444746"/>
          <w:sz w:val="20"/>
          <w:szCs w:val="20"/>
          <w:highlight w:val="white"/>
        </w:rPr>
        <w:t>×</w:t>
      </w:r>
      <w:r>
        <w:rPr>
          <w:rFonts w:eastAsia="Times New Roman" w:cs="Times New Roman" w:ascii="Times New Roman" w:hAnsi="Times New Roman"/>
        </w:rPr>
        <w:t>3.5</w:t>
      </w:r>
      <w:r>
        <w:rPr>
          <w:rFonts w:eastAsia="Roboto" w:cs="Roboto" w:ascii="Roboto" w:hAnsi="Roboto"/>
          <w:i/>
          <w:iCs/>
          <w:color w:val="444746"/>
          <w:sz w:val="20"/>
          <w:szCs w:val="20"/>
          <w:highlight w:val="white"/>
        </w:rPr>
        <w:t>×</w:t>
      </w:r>
      <w:r>
        <w:rPr>
          <w:rFonts w:eastAsia="Times New Roman" w:cs="Times New Roman" w:ascii="Times New Roman" w:hAnsi="Times New Roman"/>
        </w:rPr>
        <w:t>3 см</w:t>
      </w:r>
      <w:r>
        <w:rPr>
          <w:rFonts w:eastAsia="Times New Roman" w:cs="Times New Roman" w:ascii="Times New Roman" w:hAnsi="Times New Roman"/>
          <w:vertAlign w:val="superscript"/>
        </w:rPr>
        <w:t>3</w:t>
      </w:r>
      <w:r>
        <w:rPr>
          <w:rFonts w:eastAsia="Times New Roman" w:cs="Times New Roman" w:ascii="Times New Roman" w:hAnsi="Times New Roman"/>
        </w:rPr>
        <w:t xml:space="preserve"> с удалением участков возможных воздушных включений, затем помещались в физраствор и подвергались циклам дегазации и компрессии для удаления пузырьков воздуха с дальнейшей фиксацией в 6.5% агартине. Далее образцы помещались в бассейн с дегазированной водой (35°С) и крепились на держателе подвижной платформы. Для облучения использовалась 12-элементная кольцевая ультразвуковая решетка с рабочей частотой 2 МГц, апертурой 10</w:t>
      </w:r>
      <w:r>
        <w:rPr>
          <w:rFonts w:eastAsia="Times New Roman" w:cs="Times New Roman" w:ascii="Times New Roman" w:hAnsi="Times New Roman"/>
          <w:lang w:val="ru-RU"/>
        </w:rPr>
        <w:t> </w:t>
      </w:r>
      <w:r>
        <w:rPr>
          <w:rFonts w:eastAsia="Times New Roman" w:cs="Times New Roman" w:ascii="Times New Roman" w:hAnsi="Times New Roman"/>
        </w:rPr>
        <w:t xml:space="preserve">см, диаметром центрального отверстия 4 см и углом фокусировки </w:t>
      </w:r>
      <w:r>
        <w:rPr>
          <w:rFonts w:eastAsia="Times New Roman" w:cs="Times New Roman" w:ascii="Times New Roman" w:hAnsi="Times New Roman"/>
          <w:highlight w:val="white"/>
        </w:rPr>
        <w:t>77</w:t>
      </w:r>
      <w:r>
        <w:rPr>
          <w:rFonts w:eastAsia="Times New Roman" w:cs="Times New Roman" w:ascii="Times New Roman" w:hAnsi="Times New Roman"/>
        </w:rPr>
        <w:t>°. Контроль и визуализация осуществлялись с помощью УЗИ-датчика L7-4, расположенного в аксиальной плоскости решетки. Целевая область разрушалась последовательным облучением узлов трехмерной сетки размером 5×5×3 узла, начиная с дальних слоев. Использовалось 4 режима с различной длительностью импульсов и их количеством на каждый узел: 10 мс с 15 имп/уз, 1 мс с 150 имп/уз, 10 мс с 10 имп/уз, 1 мс с 100 имп/уз. После завершения процедуры образцы извлекались из агартина, и ориентация зоны разрушения отмечалась метками на поверхности образца. Фиксация в формалине составляла 4 недели, после чего препараты иссекались на срезы 3 мкм с последующей окраской гематоксилином и эозином для визуализации разрушения в целевой зоне.</w:t>
      </w:r>
      <w:r>
        <w:rPr>
          <w:rFonts w:eastAsia="Times New Roman" w:cs="Times New Roman" w:ascii="Times New Roman" w:hAnsi="Times New Roman"/>
          <w:lang w:val="ru-RU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Расчет нелинейного акустического поля, создаваемого в ткани ЩЖ, для оценки времени вскипания ткани в фокусе, проводился в программном комплексе «HIFU beam» для слоистой среды “вода </w:t>
      </w:r>
      <w:r>
        <w:rPr>
          <w:rFonts w:eastAsia="Roboto" w:cs="Roboto" w:ascii="Roboto" w:hAnsi="Roboto"/>
          <w:color w:val="444746"/>
          <w:sz w:val="21"/>
          <w:szCs w:val="21"/>
        </w:rPr>
        <w:t>–</w:t>
      </w:r>
      <w:r>
        <w:rPr>
          <w:rFonts w:eastAsia="Times New Roman" w:cs="Times New Roman" w:ascii="Times New Roman" w:hAnsi="Times New Roman"/>
        </w:rPr>
        <w:t xml:space="preserve"> ЩЖ</w:t>
      </w:r>
      <w:r>
        <w:rPr>
          <w:rFonts w:eastAsia="Arial" w:cs="Arial" w:ascii="Arial" w:hAnsi="Arial"/>
          <w:color w:val="474747"/>
          <w:sz w:val="21"/>
          <w:szCs w:val="21"/>
          <w:highlight w:val="white"/>
        </w:rPr>
        <w:t>”</w:t>
      </w:r>
      <w:r>
        <w:rPr>
          <w:rFonts w:eastAsia="Times New Roman" w:cs="Times New Roman" w:ascii="Times New Roman" w:hAnsi="Times New Roman"/>
        </w:rPr>
        <w:t xml:space="preserve">. Акустические параметры ЩЖ принимались по литературным данным: скорость звука 1569 м/с, плотность 1050 кг/м³, коэффициент нелинейности 4.64 (как в ткани печени), коэффициент диффузии звука 4.33 </w:t>
      </w:r>
      <w:r>
        <w:rPr>
          <w:rFonts w:eastAsia="Times New Roman" w:cs="Times New Roman" w:ascii="Times New Roman" w:hAnsi="Times New Roman"/>
          <w:lang w:val="ru-RU"/>
        </w:rPr>
        <w:t>мм</w:t>
      </w:r>
      <w:r>
        <w:rPr>
          <w:rFonts w:eastAsia="Times New Roman" w:cs="Times New Roman" w:ascii="Times New Roman" w:hAnsi="Times New Roman"/>
          <w:caps w:val="false"/>
          <w:smallCaps w:val="false"/>
          <w:color w:val="000000"/>
          <w:spacing w:val="0"/>
          <w:shd w:fill="FFFFFF" w:val="clear"/>
          <w:lang w:val="ru-RU"/>
        </w:rPr>
        <w:t>²/</w:t>
      </w:r>
      <w:r>
        <w:rPr>
          <w:rFonts w:eastAsia="Times New Roman" w:cs="Times New Roman" w:ascii="Times New Roman" w:hAnsi="Times New Roman"/>
          <w:caps w:val="false"/>
          <w:smallCaps w:val="false"/>
          <w:color w:val="000000"/>
          <w:spacing w:val="0"/>
          <w:shd w:fill="FFFFFF" w:val="clear"/>
          <w:lang w:val="en-US"/>
        </w:rPr>
        <w:t>c</w:t>
      </w:r>
      <w:r>
        <w:rPr>
          <w:rFonts w:eastAsia="Times New Roman" w:cs="Times New Roman" w:ascii="Times New Roman" w:hAnsi="Times New Roman"/>
        </w:rPr>
        <w:t>, коэффициент поглощения 0.332</w:t>
      </w:r>
      <w:r>
        <w:rPr>
          <w:rFonts w:eastAsia="Times New Roman" w:cs="Times New Roman" w:ascii="Times New Roman" w:hAnsi="Times New Roman"/>
          <w:color w:val="000000"/>
        </w:rPr>
        <w:t xml:space="preserve"> Нп/см</w:t>
      </w:r>
      <w:r>
        <w:rPr>
          <w:rFonts w:eastAsia="Times New Roman" w:cs="Times New Roman" w:ascii="Times New Roman" w:hAnsi="Times New Roman"/>
        </w:rPr>
        <w:t xml:space="preserve"> на частоте 2 МГц</w:t>
      </w:r>
      <w:r>
        <w:rPr>
          <w:rFonts w:eastAsia="Times New Roman" w:cs="Times New Roman" w:ascii="Times New Roman" w:hAnsi="Times New Roman"/>
          <w:color w:val="34343C"/>
          <w:highlight w:val="white"/>
        </w:rPr>
        <w:t xml:space="preserve">, </w:t>
      </w:r>
      <w:r>
        <w:rPr>
          <w:rFonts w:eastAsia="Times New Roman" w:cs="Times New Roman" w:ascii="Times New Roman" w:hAnsi="Times New Roman"/>
          <w:highlight w:val="white"/>
        </w:rPr>
        <w:t>с показателем степени зависимости поглощения от частоты ν = 1.1.</w:t>
      </w:r>
    </w:p>
    <w:p>
      <w:pPr>
        <w:pStyle w:val="Normal"/>
        <w:ind w:right="-17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lang w:val="en-US" w:eastAsia="ru-RU"/>
        </w:rPr>
        <w:drawing>
          <wp:inline distT="0" distB="0" distL="0" distR="0">
            <wp:extent cx="5837555" cy="155067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23" r="-6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ind w:right="-17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2"/>
          <w:szCs w:val="22"/>
        </w:rPr>
        <w:t>Рис. 1. (а,б) УЗИ образца узлового зоба до и после ГК-воздействия,</w:t>
        <w:br/>
        <w:t>(в,г) гистологический препарат зоба после ГК-воздействия.</w:t>
      </w:r>
    </w:p>
    <w:p>
      <w:pPr>
        <w:pStyle w:val="Normal"/>
        <w:ind w:firstLine="425" w:right="-1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В результате во всех образцах были зафиксированы четко ограниченные зоны механического разрушения, визуализируемые как на УЗИ после процедуры ГК, так и на гистологических срезах (Рис. 1).</w:t>
      </w:r>
      <w:r>
        <w:rPr>
          <w:rFonts w:eastAsia="Times New Roman" w:cs="Times New Roman" w:ascii="Times New Roman" w:hAnsi="Times New Roman"/>
          <w:highlight w:val="white"/>
        </w:rPr>
        <w:t xml:space="preserve"> Сравнение режимов показало, что при одинаковой общей длительности воздействия использование более коротких импульсов (1 мс против 10 мс) привело к более однородному разрушению, при этом сокращение количества импульсов не снизило качество разрушения и позволило сократить дозу воздействия</w:t>
      </w:r>
      <w:r>
        <w:rPr>
          <w:rFonts w:eastAsia="Roboto" w:cs="Roboto" w:ascii="Roboto" w:hAnsi="Roboto"/>
          <w:highlight w:val="white"/>
        </w:rPr>
        <w:t xml:space="preserve">. </w:t>
      </w:r>
      <w:r>
        <w:rPr>
          <w:rFonts w:eastAsia="Times New Roman" w:cs="Times New Roman" w:ascii="Times New Roman" w:hAnsi="Times New Roman"/>
          <w:highlight w:val="white"/>
        </w:rPr>
        <w:t xml:space="preserve">Таким образом, в работе было </w:t>
      </w:r>
      <w:r>
        <w:rPr>
          <w:rFonts w:eastAsia="Times New Roman" w:cs="Times New Roman" w:ascii="Times New Roman" w:hAnsi="Times New Roman"/>
        </w:rPr>
        <w:t>проведено первое успешное экспериментальное исследование механического разрушения узлового зоба ЩЖ методом гистотрипсии с кипением</w:t>
      </w:r>
      <w:r>
        <w:rPr>
          <w:rFonts w:eastAsia="Times New Roman" w:cs="Times New Roman" w:ascii="Times New Roman" w:hAnsi="Times New Roman"/>
          <w:lang w:val="ru-RU"/>
        </w:rPr>
        <w:t xml:space="preserve"> </w:t>
      </w:r>
      <w:r>
        <w:rPr>
          <w:rFonts w:eastAsia="Times New Roman" w:cs="Times New Roman" w:ascii="Times New Roman" w:hAnsi="Times New Roman"/>
          <w:i/>
          <w:iCs/>
          <w:lang w:val="en-US"/>
        </w:rPr>
        <w:t>ex</w:t>
      </w:r>
      <w:r>
        <w:rPr>
          <w:rFonts w:eastAsia="Times New Roman" w:cs="Times New Roman" w:ascii="Times New Roman" w:hAnsi="Times New Roman"/>
          <w:i/>
          <w:iCs/>
          <w:lang w:val="ru-RU"/>
        </w:rPr>
        <w:t xml:space="preserve"> </w:t>
      </w:r>
      <w:r>
        <w:rPr>
          <w:rFonts w:eastAsia="Times New Roman" w:cs="Times New Roman" w:ascii="Times New Roman" w:hAnsi="Times New Roman"/>
          <w:i/>
          <w:iCs/>
          <w:lang w:val="en-US"/>
        </w:rPr>
        <w:t>vivo</w:t>
      </w:r>
      <w:r>
        <w:rPr>
          <w:rFonts w:eastAsia="Times New Roman" w:cs="Times New Roman" w:ascii="Times New Roman" w:hAnsi="Times New Roman"/>
        </w:rPr>
        <w:t xml:space="preserve">, </w:t>
      </w:r>
      <w:r>
        <w:rPr>
          <w:rFonts w:eastAsia="Times New Roman" w:cs="Times New Roman" w:ascii="Times New Roman" w:hAnsi="Times New Roman"/>
          <w:lang w:val="ru-RU"/>
        </w:rPr>
        <w:t xml:space="preserve">при этом </w:t>
      </w:r>
      <w:r>
        <w:rPr>
          <w:rFonts w:eastAsia="Times New Roman" w:cs="Times New Roman" w:ascii="Times New Roman" w:hAnsi="Times New Roman"/>
        </w:rPr>
        <w:t>указывающее на возможность ускорения ГК-процедуры с помощью сокращения длительности и количества ГК-импульсов.</w:t>
      </w:r>
    </w:p>
    <w:p>
      <w:pPr>
        <w:pStyle w:val="Normal"/>
        <w:spacing w:before="0" w:after="120"/>
        <w:ind w:firstLine="391" w:right="-17"/>
        <w:jc w:val="both"/>
        <w:rPr>
          <w:rFonts w:ascii="Times;Times New Roman" w:hAnsi="Times;Times New Roman" w:eastAsia="Times;Times New Roman" w:cs="Times;Times New Roman"/>
          <w:b/>
          <w:bCs/>
        </w:rPr>
      </w:pPr>
      <w:r>
        <w:rPr>
          <w:rFonts w:eastAsia="Times New Roman" w:cs="Times New Roman" w:ascii="Times New Roman" w:hAnsi="Times New Roman"/>
        </w:rPr>
        <w:t>Работа выполнена при поддержке гранта РНФ №25-12-00157.</w:t>
      </w:r>
    </w:p>
    <w:p>
      <w:pPr>
        <w:pStyle w:val="Normal"/>
        <w:ind w:right="-17"/>
        <w:jc w:val="center"/>
        <w:rPr>
          <w:rFonts w:ascii="Times New Roman" w:hAnsi="Times New Roman" w:eastAsia="Times New Roman" w:cs="Times New Roman"/>
          <w:lang w:val="en-US"/>
        </w:rPr>
      </w:pPr>
      <w:r>
        <w:rPr>
          <w:rFonts w:eastAsia="Times;Times New Roman" w:cs="Times;Times New Roman" w:ascii="Times;Times New Roman" w:hAnsi="Times;Times New Roman"/>
          <w:b/>
          <w:bCs/>
        </w:rPr>
        <w:t>Литература</w:t>
      </w:r>
    </w:p>
    <w:p>
      <w:pPr>
        <w:pStyle w:val="Normal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1. Bergenfelz A. et al. Complications to thyroid surgery: results as reported in a database from a multicenter audit comprising 3,660 patients. Langenbecks Arch Surg 393(5):667–673, 2008.</w:t>
      </w:r>
    </w:p>
    <w:p>
      <w:pPr>
        <w:pStyle w:val="Normal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2. Acosta G. et al. Epidemiological changes in thyroid diseases. Curr Opin Endocrinol Diabetes Obes. 31(5):184–190, 2024.</w:t>
      </w:r>
    </w:p>
    <w:p>
      <w:pPr>
        <w:pStyle w:val="Normal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3. Giesecke P. et al. Increased cardiovascular mortality and morbidity in patients treated for toxic nodular goiter compared to Graves' disease and nontoxic goiter. Thyroid. 27(7):878–885, 2017.</w:t>
      </w:r>
    </w:p>
    <w:p>
      <w:pPr>
        <w:pStyle w:val="Normal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4. Canney M.S. et al. Shock-induced heating and millisecond boiling in gels and tissue due to high intensity focused ultrasound. Ultrasound Med Biol. 36(2):250–267, 2010.</w:t>
      </w:r>
    </w:p>
    <w:p>
      <w:pPr>
        <w:pStyle w:val="Normal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5. Chorti A. et al. Minimally invasive treatments of benign thyroid nodules: A Network Meta-Analysis of Short-Term Outcomes. </w:t>
      </w:r>
      <w:r>
        <w:rPr>
          <w:rFonts w:eastAsia="Times New Roman" w:cs="Times New Roman" w:ascii="Times New Roman" w:hAnsi="Times New Roman"/>
        </w:rPr>
        <w:t>Thyroid. 33(8):950–964, 2023.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lang w:val="en-US"/>
        </w:rPr>
        <w:t xml:space="preserve">6. Swietlik J.F. et al. Noninvasive thyroid histotripsy treatment: proof of concept study in a porcine model. </w:t>
      </w:r>
      <w:r>
        <w:rPr>
          <w:rFonts w:eastAsia="Times New Roman" w:cs="Times New Roman" w:ascii="Times New Roman" w:hAnsi="Times New Roman"/>
        </w:rPr>
        <w:t>Int J Hyperthermia. 38(1):798–804, 2021.</w:t>
      </w:r>
    </w:p>
    <w:sectPr>
      <w:type w:val="nextPage"/>
      <w:pgSz w:w="11906" w:h="16838"/>
      <w:pgMar w:left="1361" w:right="1361" w:gutter="0" w:header="0" w:top="1134" w:footer="0" w:bottom="1259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00"/>
    <w:family w:val="auto"/>
    <w:pitch w:val="default"/>
  </w:font>
  <w:font w:name="Liberation Sans">
    <w:altName w:val="Arial"/>
    <w:charset w:val="cc"/>
    <w:family w:val="swiss"/>
    <w:pitch w:val="variable"/>
  </w:font>
  <w:font w:name="Georgia">
    <w:charset w:val="00"/>
    <w:family w:val="roman"/>
    <w:pitch w:val="variable"/>
  </w:font>
  <w:font w:name="Roboto">
    <w:charset w:val="00"/>
    <w:family w:val="auto"/>
    <w:pitch w:val="variable"/>
  </w:font>
  <w:font w:name="Times">
    <w:altName w:val="Times New Roman"/>
    <w:charset w:val="00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Liberation Serif;Times New Roman" w:cs="Liberation Serif;Times New Roman"/>
      <w:color w:val="auto"/>
      <w:sz w:val="24"/>
      <w:szCs w:val="24"/>
      <w:lang w:val="ru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2"/>
        <w:numId w:val="1"/>
      </w:numPr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numPr>
        <w:ilvl w:val="3"/>
        <w:numId w:val="1"/>
      </w:numPr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 w:val="true"/>
      <w:keepLines/>
      <w:numPr>
        <w:ilvl w:val="4"/>
        <w:numId w:val="1"/>
      </w:numPr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 w:val="true"/>
      <w:keepLines/>
      <w:numPr>
        <w:ilvl w:val="5"/>
        <w:numId w:val="1"/>
      </w:numPr>
      <w:spacing w:before="200" w:after="40"/>
      <w:outlineLvl w:val="5"/>
    </w:pPr>
    <w:rPr>
      <w:b/>
      <w:bCs/>
      <w:sz w:val="20"/>
      <w:szCs w:val="20"/>
    </w:rPr>
  </w:style>
  <w:style w:type="character" w:styleId="DefaultParagraphFont">
    <w:name w:val="Default Paragraph Font"/>
    <w:qFormat/>
    <w:rPr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Normal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Lucida San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WW-">
    <w:name w:val="WW-Заголовок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8</TotalTime>
  <Application>LibreOffice/24.8.0.3$Windows_X86_64 LibreOffice_project/0bdf1299c94fe897b119f97f3c613e9dca6be583</Application>
  <AppVersion>15.0000</AppVersion>
  <Pages>2</Pages>
  <Words>884</Words>
  <Characters>5952</Characters>
  <CharactersWithSpaces>6811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2026-03-02T23:52:00Z</dcterms:created>
  <dc:creator/>
  <dc:description/>
  <dc:language>ru-RU</dc:language>
  <cp:lastModifiedBy/>
  <dcterms:modified xsi:type="dcterms:W3CDTF">2026-03-06T21:43:01Z</dcterms:modified>
  <cp:revision>4</cp:revision>
  <dc:subject/>
  <dc:title/>
</cp:coreProperties>
</file>