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2A90" w14:textId="77777777" w:rsidR="00E5202E" w:rsidRPr="004A5821" w:rsidRDefault="000D09A7" w:rsidP="005F02D4">
      <w:pPr>
        <w:ind w:left="-142" w:right="1"/>
        <w:jc w:val="center"/>
        <w:rPr>
          <w:b/>
          <w:bCs/>
          <w:i/>
          <w:iCs/>
          <w:color w:val="000000" w:themeColor="text1"/>
        </w:rPr>
      </w:pPr>
      <w:r w:rsidRPr="004A5821">
        <w:rPr>
          <w:b/>
          <w:bCs/>
          <w:i/>
          <w:iCs/>
          <w:color w:val="000000" w:themeColor="text1"/>
        </w:rPr>
        <w:t xml:space="preserve">Математическая модель </w:t>
      </w:r>
      <w:proofErr w:type="spellStart"/>
      <w:r w:rsidRPr="004A5821">
        <w:rPr>
          <w:b/>
          <w:bCs/>
          <w:i/>
          <w:iCs/>
          <w:color w:val="000000" w:themeColor="text1"/>
        </w:rPr>
        <w:t>прокоагулянтного</w:t>
      </w:r>
      <w:proofErr w:type="spellEnd"/>
      <w:r w:rsidRPr="004A5821">
        <w:rPr>
          <w:b/>
          <w:bCs/>
          <w:i/>
          <w:iCs/>
          <w:color w:val="000000" w:themeColor="text1"/>
        </w:rPr>
        <w:t> действия эритроцитов в застойных областях</w:t>
      </w:r>
    </w:p>
    <w:p w14:paraId="08B4B708" w14:textId="62DEC3F9" w:rsidR="00525094" w:rsidRDefault="00525094" w:rsidP="00525094">
      <w:pPr>
        <w:ind w:hanging="2"/>
        <w:jc w:val="center"/>
      </w:pPr>
      <w:r>
        <w:rPr>
          <w:b/>
          <w:bCs/>
          <w:i/>
          <w:iCs/>
        </w:rPr>
        <w:t xml:space="preserve">Сергеева М. К. </w:t>
      </w:r>
    </w:p>
    <w:p w14:paraId="17DE50E7" w14:textId="5A7FF841" w:rsidR="00525094" w:rsidRDefault="00525094" w:rsidP="00525094">
      <w:pPr>
        <w:jc w:val="center"/>
      </w:pPr>
      <w:r>
        <w:rPr>
          <w:i/>
        </w:rPr>
        <w:t>Студен</w:t>
      </w:r>
      <w:r w:rsidR="008A00D2">
        <w:rPr>
          <w:i/>
        </w:rPr>
        <w:t>т 5 года обучения,</w:t>
      </w:r>
    </w:p>
    <w:p w14:paraId="5D41F8B7" w14:textId="77777777" w:rsidR="0008194A" w:rsidRDefault="0008194A" w:rsidP="0008194A">
      <w:pPr>
        <w:jc w:val="center"/>
      </w:pPr>
      <w:proofErr w:type="spellStart"/>
      <w:r>
        <w:rPr>
          <w:i/>
          <w:lang w:val="hu-HU"/>
        </w:rPr>
        <w:t>Московский</w:t>
      </w:r>
      <w:proofErr w:type="spellEnd"/>
      <w:r>
        <w:rPr>
          <w:i/>
          <w:lang w:val="hu-HU"/>
        </w:rPr>
        <w:t xml:space="preserve"> </w:t>
      </w:r>
      <w:proofErr w:type="spellStart"/>
      <w:r>
        <w:rPr>
          <w:i/>
          <w:lang w:val="hu-HU"/>
        </w:rPr>
        <w:t>государственный</w:t>
      </w:r>
      <w:proofErr w:type="spellEnd"/>
      <w:r>
        <w:rPr>
          <w:i/>
          <w:lang w:val="hu-HU"/>
        </w:rPr>
        <w:t xml:space="preserve"> </w:t>
      </w:r>
      <w:proofErr w:type="spellStart"/>
      <w:r>
        <w:rPr>
          <w:i/>
          <w:lang w:val="hu-HU"/>
        </w:rPr>
        <w:t>университет</w:t>
      </w:r>
      <w:proofErr w:type="spellEnd"/>
      <w:r>
        <w:rPr>
          <w:i/>
          <w:lang w:val="hu-HU"/>
        </w:rPr>
        <w:t xml:space="preserve"> </w:t>
      </w:r>
      <w:proofErr w:type="spellStart"/>
      <w:r>
        <w:rPr>
          <w:i/>
          <w:lang w:val="hu-HU"/>
        </w:rPr>
        <w:t>имени</w:t>
      </w:r>
      <w:proofErr w:type="spellEnd"/>
      <w:r>
        <w:rPr>
          <w:i/>
          <w:lang w:val="hu-HU"/>
        </w:rPr>
        <w:t xml:space="preserve"> </w:t>
      </w:r>
      <w:proofErr w:type="spellStart"/>
      <w:r>
        <w:rPr>
          <w:i/>
          <w:lang w:val="hu-HU"/>
        </w:rPr>
        <w:t>М.В.Ломоносова</w:t>
      </w:r>
      <w:proofErr w:type="spellEnd"/>
      <w:r>
        <w:rPr>
          <w:i/>
          <w:lang w:val="hu-HU"/>
        </w:rPr>
        <w:t xml:space="preserve">, </w:t>
      </w:r>
      <w:r>
        <w:rPr>
          <w:i/>
        </w:rPr>
        <w:t>физический факультет</w:t>
      </w:r>
      <w:r>
        <w:rPr>
          <w:i/>
          <w:lang w:val="hu-HU"/>
        </w:rPr>
        <w:t xml:space="preserve">, </w:t>
      </w:r>
      <w:proofErr w:type="spellStart"/>
      <w:r>
        <w:rPr>
          <w:i/>
          <w:lang w:val="hu-HU"/>
        </w:rPr>
        <w:t>Москва</w:t>
      </w:r>
      <w:proofErr w:type="spellEnd"/>
      <w:r>
        <w:rPr>
          <w:i/>
          <w:lang w:val="hu-HU"/>
        </w:rPr>
        <w:t xml:space="preserve">, </w:t>
      </w:r>
      <w:proofErr w:type="spellStart"/>
      <w:r>
        <w:rPr>
          <w:i/>
          <w:lang w:val="hu-HU"/>
        </w:rPr>
        <w:t>Россия</w:t>
      </w:r>
      <w:proofErr w:type="spellEnd"/>
    </w:p>
    <w:p w14:paraId="53917217" w14:textId="77777777" w:rsidR="000D09A7" w:rsidRDefault="000D09A7" w:rsidP="005F02D4">
      <w:pPr>
        <w:ind w:left="-142" w:right="1"/>
        <w:jc w:val="center"/>
      </w:pPr>
      <w:hyperlink r:id="rId6" w:history="1">
        <w:r w:rsidRPr="004A5821">
          <w:rPr>
            <w:rStyle w:val="ad"/>
            <w:i/>
            <w:iCs/>
            <w:color w:val="000000" w:themeColor="text1"/>
            <w:u w:val="none"/>
            <w:lang w:val="en-US"/>
          </w:rPr>
          <w:t>moten</w:t>
        </w:r>
        <w:r w:rsidRPr="004A5821">
          <w:rPr>
            <w:rStyle w:val="ad"/>
            <w:i/>
            <w:iCs/>
            <w:color w:val="000000" w:themeColor="text1"/>
            <w:u w:val="none"/>
          </w:rPr>
          <w:t>.</w:t>
        </w:r>
        <w:r w:rsidRPr="004A5821">
          <w:rPr>
            <w:rStyle w:val="ad"/>
            <w:i/>
            <w:iCs/>
            <w:color w:val="000000" w:themeColor="text1"/>
            <w:u w:val="none"/>
            <w:lang w:val="en-US"/>
          </w:rPr>
          <w:t>sergeeva</w:t>
        </w:r>
        <w:r w:rsidRPr="004A5821">
          <w:rPr>
            <w:rStyle w:val="ad"/>
            <w:i/>
            <w:iCs/>
            <w:color w:val="000000" w:themeColor="text1"/>
            <w:u w:val="none"/>
          </w:rPr>
          <w:t>@</w:t>
        </w:r>
        <w:r w:rsidRPr="004A5821">
          <w:rPr>
            <w:rStyle w:val="ad"/>
            <w:i/>
            <w:iCs/>
            <w:color w:val="000000" w:themeColor="text1"/>
            <w:u w:val="none"/>
            <w:lang w:val="en-US"/>
          </w:rPr>
          <w:t>gmail</w:t>
        </w:r>
        <w:r w:rsidRPr="004A5821">
          <w:rPr>
            <w:rStyle w:val="ad"/>
            <w:i/>
            <w:iCs/>
            <w:color w:val="000000" w:themeColor="text1"/>
            <w:u w:val="none"/>
          </w:rPr>
          <w:t>.</w:t>
        </w:r>
        <w:r w:rsidRPr="004A5821">
          <w:rPr>
            <w:rStyle w:val="ad"/>
            <w:i/>
            <w:iCs/>
            <w:color w:val="000000" w:themeColor="text1"/>
            <w:u w:val="none"/>
            <w:lang w:val="en-US"/>
          </w:rPr>
          <w:t>com</w:t>
        </w:r>
      </w:hyperlink>
    </w:p>
    <w:p w14:paraId="6B3A62DB" w14:textId="77777777" w:rsidR="0008194A" w:rsidRDefault="0008194A" w:rsidP="005F02D4">
      <w:pPr>
        <w:ind w:left="-142" w:right="1"/>
        <w:jc w:val="center"/>
        <w:rPr>
          <w:i/>
          <w:iCs/>
          <w:color w:val="000000" w:themeColor="text1"/>
        </w:rPr>
      </w:pPr>
    </w:p>
    <w:p w14:paraId="105758A1" w14:textId="35B9E275" w:rsidR="004E0E34" w:rsidRPr="00BC07CB" w:rsidRDefault="008C45DE" w:rsidP="00F5663B">
      <w:pPr>
        <w:ind w:firstLine="397"/>
        <w:jc w:val="both"/>
        <w:rPr>
          <w:rFonts w:ascii="Helvetica Neue" w:eastAsiaTheme="majorEastAsia" w:hAnsi="Helvetica Neue"/>
          <w:color w:val="0A0A0A"/>
        </w:rPr>
      </w:pPr>
      <w:r>
        <w:rPr>
          <w:lang w:val="en-US"/>
        </w:rPr>
        <w:t>C</w:t>
      </w:r>
      <w:proofErr w:type="spellStart"/>
      <w:r w:rsidR="001367EC" w:rsidRPr="00741D09">
        <w:t>вертывани</w:t>
      </w:r>
      <w:r>
        <w:t>е</w:t>
      </w:r>
      <w:proofErr w:type="spellEnd"/>
      <w:r w:rsidR="001367EC" w:rsidRPr="00741D09">
        <w:t xml:space="preserve"> крови заключается в </w:t>
      </w:r>
      <w:r w:rsidR="00F5663B">
        <w:t>образовании геля из фибрина</w:t>
      </w:r>
      <w:r w:rsidR="001367EC" w:rsidRPr="00741D09">
        <w:t>.</w:t>
      </w:r>
      <w:r w:rsidR="001367EC">
        <w:t xml:space="preserve"> </w:t>
      </w:r>
      <w:r w:rsidR="00F5663B">
        <w:t>Процесс происходит под действием фермента</w:t>
      </w:r>
      <w:r w:rsidR="00F5663B">
        <w:rPr>
          <w:rStyle w:val="apple-converted-space"/>
          <w:rFonts w:eastAsiaTheme="majorEastAsia"/>
        </w:rPr>
        <w:t> </w:t>
      </w:r>
      <w:r w:rsidR="00F5663B" w:rsidRPr="00F5663B">
        <w:rPr>
          <w:rFonts w:eastAsiaTheme="majorEastAsia"/>
        </w:rPr>
        <w:t>тромбина</w:t>
      </w:r>
      <w:r w:rsidR="00F5663B">
        <w:t xml:space="preserve">, который отщепляет от фибриногена </w:t>
      </w:r>
      <w:proofErr w:type="spellStart"/>
      <w:r w:rsidR="00F5663B">
        <w:t>фибринопептиды</w:t>
      </w:r>
      <w:proofErr w:type="spellEnd"/>
      <w:r w:rsidR="00F5663B">
        <w:t xml:space="preserve">, превращая его в мономеры фибрина. Далее эти мономеры </w:t>
      </w:r>
      <w:proofErr w:type="spellStart"/>
      <w:r w:rsidR="00F5663B">
        <w:t>полимеризуются</w:t>
      </w:r>
      <w:proofErr w:type="spellEnd"/>
      <w:r w:rsidR="00F5663B">
        <w:t xml:space="preserve"> и стабилизируются фактором </w:t>
      </w:r>
      <w:proofErr w:type="spellStart"/>
      <w:r w:rsidR="00F5663B">
        <w:t>XIIIа</w:t>
      </w:r>
      <w:proofErr w:type="spellEnd"/>
      <w:r w:rsidR="00F5663B">
        <w:t>, образуя плотный сгусток.</w:t>
      </w:r>
      <w:r w:rsidR="00F5663B">
        <w:rPr>
          <w:rStyle w:val="vkekvd"/>
          <w:rFonts w:ascii="Helvetica Neue" w:eastAsiaTheme="majorEastAsia" w:hAnsi="Helvetica Neue"/>
          <w:color w:val="0A0A0A"/>
        </w:rPr>
        <w:t> </w:t>
      </w:r>
      <w:r w:rsidR="001367EC">
        <w:t>Свертывание крови</w:t>
      </w:r>
      <w:r w:rsidR="004E0E34" w:rsidRPr="00741D09">
        <w:t xml:space="preserve"> – это цепной ферментативный процесс, в котором последовательно происходит активация факторов свертывания и образование их комплексов. </w:t>
      </w:r>
      <w:r w:rsidR="00070B18" w:rsidRPr="001367EC">
        <w:t>[1]</w:t>
      </w:r>
      <w:r w:rsidR="008E2638">
        <w:t xml:space="preserve"> </w:t>
      </w:r>
      <w:r w:rsidR="008A243D" w:rsidRPr="008A243D">
        <w:rPr>
          <w:rFonts w:eastAsiaTheme="minorHAnsi"/>
          <w:lang w:eastAsia="en-US"/>
        </w:rPr>
        <w:t>Роль эритроцитов в этих процессах недостаточно исследована, однако появляется все больше экспериментальных данных о вовлеченности эритроцитов в процесс коагуляции.</w:t>
      </w:r>
      <w:r w:rsidR="008A243D">
        <w:rPr>
          <w:rFonts w:eastAsiaTheme="minorHAnsi"/>
          <w:lang w:eastAsia="en-US"/>
        </w:rPr>
        <w:t xml:space="preserve"> </w:t>
      </w:r>
      <w:r w:rsidR="008A243D" w:rsidRPr="00BC07CB">
        <w:rPr>
          <w:rFonts w:eastAsiaTheme="minorHAnsi"/>
          <w:lang w:eastAsia="en-US"/>
        </w:rPr>
        <w:t>[</w:t>
      </w:r>
      <w:r w:rsidR="008610EA">
        <w:rPr>
          <w:rFonts w:eastAsiaTheme="minorHAnsi"/>
          <w:lang w:eastAsia="en-US"/>
        </w:rPr>
        <w:t>2</w:t>
      </w:r>
      <w:r w:rsidR="008A243D" w:rsidRPr="00BC07CB">
        <w:rPr>
          <w:rFonts w:eastAsiaTheme="minorHAnsi"/>
          <w:lang w:eastAsia="en-US"/>
        </w:rPr>
        <w:t xml:space="preserve">, </w:t>
      </w:r>
      <w:r w:rsidR="008E2638">
        <w:rPr>
          <w:rFonts w:eastAsiaTheme="minorHAnsi"/>
          <w:lang w:eastAsia="en-US"/>
        </w:rPr>
        <w:t>4</w:t>
      </w:r>
      <w:r w:rsidR="008A243D" w:rsidRPr="00BC07CB">
        <w:rPr>
          <w:rFonts w:eastAsiaTheme="minorHAnsi"/>
          <w:lang w:eastAsia="en-US"/>
        </w:rPr>
        <w:t>]</w:t>
      </w:r>
    </w:p>
    <w:p w14:paraId="10BAE5D0" w14:textId="487B0C1E" w:rsidR="002B3520" w:rsidRPr="008610EA" w:rsidRDefault="00FD05CA" w:rsidP="00BC07CB">
      <w:pPr>
        <w:ind w:firstLine="397"/>
        <w:jc w:val="both"/>
      </w:pPr>
      <w:r w:rsidRPr="00417D0C">
        <w:t xml:space="preserve">Эритроциты выполняют множество важных функций и оказывают существенное влияние на свёртываемость крови, гемостаз и тромбообразование. </w:t>
      </w:r>
      <w:r w:rsidRPr="00417D0C">
        <w:rPr>
          <w:rStyle w:val="apple-converted-space"/>
          <w:color w:val="000000"/>
        </w:rPr>
        <w:t xml:space="preserve">Из экспериментов известно, что эритроциты обладают </w:t>
      </w:r>
      <w:proofErr w:type="spellStart"/>
      <w:r w:rsidRPr="00417D0C">
        <w:rPr>
          <w:rStyle w:val="apple-converted-space"/>
          <w:color w:val="000000"/>
        </w:rPr>
        <w:t>прокоагулянтной</w:t>
      </w:r>
      <w:proofErr w:type="spellEnd"/>
      <w:r w:rsidRPr="00417D0C">
        <w:rPr>
          <w:rStyle w:val="apple-converted-space"/>
          <w:color w:val="000000"/>
        </w:rPr>
        <w:t xml:space="preserve"> активностью. </w:t>
      </w:r>
      <w:r w:rsidR="008A243D" w:rsidRPr="008A243D">
        <w:rPr>
          <w:rFonts w:eastAsiaTheme="minorHAnsi"/>
          <w:lang w:eastAsia="en-US"/>
        </w:rPr>
        <w:t>[</w:t>
      </w:r>
      <w:r w:rsidR="008610EA">
        <w:rPr>
          <w:rFonts w:eastAsiaTheme="minorHAnsi"/>
          <w:lang w:eastAsia="en-US"/>
        </w:rPr>
        <w:t>2</w:t>
      </w:r>
      <w:r w:rsidR="008A243D" w:rsidRPr="008A243D">
        <w:rPr>
          <w:rFonts w:eastAsiaTheme="minorHAnsi"/>
          <w:lang w:eastAsia="en-US"/>
        </w:rPr>
        <w:t xml:space="preserve">, </w:t>
      </w:r>
      <w:r w:rsidR="008E2638">
        <w:rPr>
          <w:rFonts w:eastAsiaTheme="minorHAnsi"/>
          <w:lang w:eastAsia="en-US"/>
        </w:rPr>
        <w:t>4</w:t>
      </w:r>
      <w:r w:rsidR="008A243D" w:rsidRPr="008A243D">
        <w:rPr>
          <w:rFonts w:eastAsiaTheme="minorHAnsi"/>
          <w:lang w:eastAsia="en-US"/>
        </w:rPr>
        <w:t xml:space="preserve">] </w:t>
      </w:r>
      <w:r w:rsidR="00D63066" w:rsidRPr="00417D0C">
        <w:rPr>
          <w:color w:val="000000"/>
        </w:rPr>
        <w:t>В</w:t>
      </w:r>
      <w:r w:rsidRPr="00417D0C">
        <w:rPr>
          <w:color w:val="000000"/>
        </w:rPr>
        <w:t xml:space="preserve">следствие окислительного стресса, запуска апоптоза </w:t>
      </w:r>
      <w:r w:rsidR="00242ED4" w:rsidRPr="00417D0C">
        <w:rPr>
          <w:color w:val="000000"/>
        </w:rPr>
        <w:t xml:space="preserve">после взаимодействия с тромбоцитами </w:t>
      </w:r>
      <w:r w:rsidRPr="00417D0C">
        <w:rPr>
          <w:color w:val="000000"/>
        </w:rPr>
        <w:t xml:space="preserve">через </w:t>
      </w:r>
      <w:r w:rsidR="00945BAD" w:rsidRPr="00417D0C">
        <w:rPr>
          <w:color w:val="000000"/>
        </w:rPr>
        <w:t xml:space="preserve">путь </w:t>
      </w:r>
      <w:proofErr w:type="spellStart"/>
      <w:r w:rsidR="00945BAD" w:rsidRPr="00417D0C">
        <w:t>FasL</w:t>
      </w:r>
      <w:proofErr w:type="spellEnd"/>
      <w:r w:rsidR="00945BAD" w:rsidRPr="00417D0C">
        <w:t>/</w:t>
      </w:r>
      <w:proofErr w:type="spellStart"/>
      <w:r w:rsidR="00945BAD" w:rsidRPr="00417D0C">
        <w:t>FasR</w:t>
      </w:r>
      <w:proofErr w:type="spellEnd"/>
      <w:r w:rsidR="00945BAD" w:rsidRPr="00417D0C">
        <w:rPr>
          <w:color w:val="000000"/>
        </w:rPr>
        <w:t xml:space="preserve"> </w:t>
      </w:r>
      <w:r w:rsidRPr="00417D0C">
        <w:rPr>
          <w:color w:val="000000"/>
        </w:rPr>
        <w:t xml:space="preserve">или других причин на их внешних мембранах появляется </w:t>
      </w:r>
      <w:proofErr w:type="spellStart"/>
      <w:r w:rsidRPr="00417D0C">
        <w:rPr>
          <w:color w:val="000000"/>
        </w:rPr>
        <w:t>фосфатидилсерин</w:t>
      </w:r>
      <w:proofErr w:type="spellEnd"/>
      <w:r w:rsidRPr="00417D0C">
        <w:rPr>
          <w:color w:val="000000"/>
        </w:rPr>
        <w:t xml:space="preserve">, </w:t>
      </w:r>
      <w:r w:rsidR="00242ED4" w:rsidRPr="00417D0C">
        <w:t xml:space="preserve">который служит матрицей для сборки коагуляционных комплексов, а именно внутренней </w:t>
      </w:r>
      <w:proofErr w:type="spellStart"/>
      <w:r w:rsidR="00242ED4" w:rsidRPr="00417D0C">
        <w:t>теназы</w:t>
      </w:r>
      <w:proofErr w:type="spellEnd"/>
      <w:r w:rsidR="00242ED4" w:rsidRPr="00417D0C">
        <w:t xml:space="preserve"> и </w:t>
      </w:r>
      <w:proofErr w:type="spellStart"/>
      <w:r w:rsidR="00242ED4" w:rsidRPr="00417D0C">
        <w:t>протромбиназы</w:t>
      </w:r>
      <w:proofErr w:type="spellEnd"/>
      <w:r w:rsidR="00057859">
        <w:t>.</w:t>
      </w:r>
      <w:r w:rsidR="004C3E8E" w:rsidRPr="00417D0C">
        <w:t xml:space="preserve"> </w:t>
      </w:r>
      <w:r w:rsidR="00892D43" w:rsidRPr="00892D43">
        <w:t>[</w:t>
      </w:r>
      <w:r w:rsidR="008E2638">
        <w:t>5</w:t>
      </w:r>
      <w:r w:rsidR="00892D43" w:rsidRPr="00892D43">
        <w:t xml:space="preserve">] </w:t>
      </w:r>
      <w:r w:rsidR="004C3E8E" w:rsidRPr="00417D0C">
        <w:t xml:space="preserve">Переход фактора II (протромбин) в фактор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II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sub>
        </m:sSub>
      </m:oMath>
      <w:r w:rsidR="004C3E8E" w:rsidRPr="00417D0C">
        <w:t xml:space="preserve"> (тромбин) осуществляется под влиянием протромбиназы</w:t>
      </w:r>
      <w:r w:rsidR="002B3520" w:rsidRPr="00417D0C">
        <w:t>.</w:t>
      </w:r>
      <w:r w:rsidR="007B7407" w:rsidRPr="00417D0C">
        <w:t xml:space="preserve"> </w:t>
      </w:r>
      <w:r w:rsidR="008A243D" w:rsidRPr="008610EA">
        <w:t>[1]</w:t>
      </w:r>
    </w:p>
    <w:p w14:paraId="52FE1ECC" w14:textId="0F7A58DB" w:rsidR="00FD05CA" w:rsidRPr="00F573D5" w:rsidRDefault="00147912" w:rsidP="00417D0C">
      <w:pPr>
        <w:ind w:firstLine="397"/>
        <w:jc w:val="both"/>
      </w:pPr>
      <w:r w:rsidRPr="00417D0C">
        <w:t xml:space="preserve"> </w:t>
      </w:r>
      <w:proofErr w:type="spellStart"/>
      <w:r w:rsidRPr="00417D0C">
        <w:t>Фосфатидилсерин</w:t>
      </w:r>
      <w:proofErr w:type="spellEnd"/>
      <w:r w:rsidRPr="00417D0C">
        <w:t xml:space="preserve"> </w:t>
      </w:r>
      <w:r w:rsidR="008610EA">
        <w:t>выходит на внешнюю часть мембраны</w:t>
      </w:r>
      <w:r w:rsidRPr="00417D0C">
        <w:t xml:space="preserve"> под действием белка </w:t>
      </w:r>
      <w:proofErr w:type="spellStart"/>
      <w:r w:rsidRPr="00417D0C">
        <w:t>ск</w:t>
      </w:r>
      <w:r w:rsidR="00284040">
        <w:t>ра</w:t>
      </w:r>
      <w:r w:rsidRPr="00417D0C">
        <w:t>мблазы</w:t>
      </w:r>
      <w:proofErr w:type="spellEnd"/>
      <w:r w:rsidRPr="00417D0C">
        <w:t xml:space="preserve">, который устраняет естественную асимметрию мембранных фосфолипидов в ответ на вызванную </w:t>
      </w:r>
      <m:oMath>
        <m:sSup>
          <m:sSupPr>
            <m:ctrlPr>
              <w:rPr>
                <w:rFonts w:ascii="Cambria Math" w:eastAsiaTheme="minorHAnsi" w:hAnsi="Cambria Math"/>
                <w:i/>
                <w:kern w:val="2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Ca</m:t>
            </m:r>
          </m:e>
          <m:sup>
            <m:r>
              <w:rPr>
                <w:rFonts w:ascii="Cambria Math" w:hAnsi="Cambria Math"/>
              </w:rPr>
              <m:t>2+</m:t>
            </m:r>
          </m:sup>
        </m:sSup>
      </m:oMath>
      <w:r w:rsidRPr="00417D0C">
        <w:t xml:space="preserve"> инактивацию транслоказы и флиппазы, поддерживающих эту асимметрию.</w:t>
      </w:r>
      <w:r w:rsidR="00065F46" w:rsidRPr="00065F46">
        <w:t xml:space="preserve"> [</w:t>
      </w:r>
      <w:r w:rsidR="008E2638">
        <w:t>5</w:t>
      </w:r>
      <w:r w:rsidR="00065F46" w:rsidRPr="00065F46">
        <w:t>]</w:t>
      </w:r>
      <w:r w:rsidR="00702C4B" w:rsidRPr="00417D0C">
        <w:t xml:space="preserve"> </w:t>
      </w:r>
      <w:r w:rsidR="00E1439F" w:rsidRPr="00417D0C">
        <w:t>Известно</w:t>
      </w:r>
      <w:r w:rsidR="00702C4B" w:rsidRPr="00417D0C">
        <w:t>, что в крови здоровых людей циркулирует 0,4–0,5% таких эритроцитов. И даже такого небольшого числа хватает для обеспечения до 40% от общего потенциала генерации тромбина цельной кровью за счет большого общего количества эритроцитов</w:t>
      </w:r>
      <w:r w:rsidR="00E1439F" w:rsidRPr="00417D0C">
        <w:t xml:space="preserve">. </w:t>
      </w:r>
      <w:r w:rsidR="00F573D5" w:rsidRPr="00F573D5">
        <w:t>[</w:t>
      </w:r>
      <w:r w:rsidR="008E2638">
        <w:t>3</w:t>
      </w:r>
      <w:r w:rsidR="00F573D5" w:rsidRPr="00F573D5">
        <w:t>]</w:t>
      </w:r>
      <w:r w:rsidR="00B241F8" w:rsidRPr="00417D0C">
        <w:t xml:space="preserve"> </w:t>
      </w:r>
    </w:p>
    <w:p w14:paraId="4BF834AA" w14:textId="20A0730D" w:rsidR="00FF51A9" w:rsidRDefault="00FB3114" w:rsidP="00417D0C">
      <w:pPr>
        <w:ind w:firstLine="397"/>
        <w:jc w:val="both"/>
        <w:rPr>
          <w:rFonts w:eastAsiaTheme="minorEastAsia"/>
        </w:rPr>
      </w:pPr>
      <w:r w:rsidRPr="00417D0C">
        <w:t>Целью</w:t>
      </w:r>
      <w:r w:rsidR="008610EA">
        <w:t xml:space="preserve"> </w:t>
      </w:r>
      <w:r w:rsidRPr="00417D0C">
        <w:t xml:space="preserve">работы является построение математической модели </w:t>
      </w:r>
      <w:proofErr w:type="spellStart"/>
      <w:r w:rsidRPr="00417D0C">
        <w:t>прокоагулянтного</w:t>
      </w:r>
      <w:proofErr w:type="spellEnd"/>
      <w:r w:rsidRPr="00417D0C">
        <w:t xml:space="preserve"> действия эритроцитов.</w:t>
      </w:r>
      <w:r w:rsidR="00FB3F8F" w:rsidRPr="00417D0C">
        <w:t xml:space="preserve"> Изучается зависимость протекания реакций системы свертывания в застойны</w:t>
      </w:r>
      <w:r w:rsidR="00550681" w:rsidRPr="00417D0C">
        <w:t xml:space="preserve">х областях от </w:t>
      </w:r>
      <w:r w:rsidR="004969DB" w:rsidRPr="00417D0C">
        <w:t xml:space="preserve">скорости образования </w:t>
      </w:r>
      <m:oMath>
        <m:sSup>
          <m:sSupPr>
            <m:ctrlPr>
              <w:rPr>
                <w:rFonts w:ascii="Cambria Math" w:eastAsiaTheme="minorHAnsi" w:hAnsi="Cambria Math"/>
                <w:iCs/>
                <w:kern w:val="2"/>
                <w:lang w:val="en-US" w:eastAsia="en-US"/>
                <w14:ligatures w14:val="standardContextual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</m:oMath>
      <w:r w:rsidR="004969DB" w:rsidRPr="00417D0C">
        <w:rPr>
          <w:rFonts w:eastAsiaTheme="minorEastAsia"/>
        </w:rPr>
        <w:t xml:space="preserve"> эритроцитов</w:t>
      </w:r>
      <w:r w:rsidR="00091B48" w:rsidRPr="00417D0C">
        <w:rPr>
          <w:rFonts w:eastAsiaTheme="minorEastAsia"/>
        </w:rPr>
        <w:t xml:space="preserve"> и других факторов</w:t>
      </w:r>
      <w:r w:rsidR="00C0798B" w:rsidRPr="00417D0C">
        <w:rPr>
          <w:rFonts w:eastAsiaTheme="minorEastAsia"/>
        </w:rPr>
        <w:t>, влияющих на образование тромбов.</w:t>
      </w:r>
      <w:r w:rsidR="00594251">
        <w:rPr>
          <w:rFonts w:eastAsiaTheme="minorEastAsia"/>
        </w:rPr>
        <w:t xml:space="preserve"> </w:t>
      </w:r>
      <w:r w:rsidR="008610EA">
        <w:rPr>
          <w:rFonts w:eastAsiaTheme="minorEastAsia"/>
        </w:rPr>
        <w:t>Модель основана на системе обыкновенных дифференциальных уравнений</w:t>
      </w:r>
      <w:r w:rsidR="00FC38FC">
        <w:rPr>
          <w:rFonts w:eastAsiaTheme="minorEastAsia"/>
        </w:rPr>
        <w:t xml:space="preserve">, </w:t>
      </w:r>
      <w:r w:rsidR="00FC38FC" w:rsidRPr="00FC38FC">
        <w:rPr>
          <w:rFonts w:eastAsiaTheme="minorEastAsia"/>
        </w:rPr>
        <w:t>описывающ</w:t>
      </w:r>
      <w:r w:rsidR="00FC38FC">
        <w:rPr>
          <w:rFonts w:eastAsiaTheme="minorEastAsia"/>
        </w:rPr>
        <w:t>их</w:t>
      </w:r>
      <w:r w:rsidR="00FC38FC" w:rsidRPr="00FC38FC">
        <w:rPr>
          <w:rFonts w:eastAsiaTheme="minorEastAsia"/>
        </w:rPr>
        <w:t xml:space="preserve"> динамику активации факторов свертывания крови</w:t>
      </w:r>
      <w:r w:rsidR="00FC38FC">
        <w:rPr>
          <w:rFonts w:eastAsiaTheme="minorEastAsia"/>
        </w:rPr>
        <w:t xml:space="preserve">. </w:t>
      </w:r>
      <w:r w:rsidR="00FC38FC" w:rsidRPr="00FC38FC">
        <w:rPr>
          <w:color w:val="000000" w:themeColor="text1"/>
        </w:rPr>
        <w:t>Система решается адаптивным численным методом LSODA</w:t>
      </w:r>
      <w:r w:rsidR="00FC38FC">
        <w:rPr>
          <w:color w:val="000000" w:themeColor="text1"/>
        </w:rPr>
        <w:t xml:space="preserve"> </w:t>
      </w:r>
      <w:r w:rsidR="00FC38FC" w:rsidRPr="00FC38FC">
        <w:rPr>
          <w:color w:val="000000" w:themeColor="text1"/>
        </w:rPr>
        <w:t>из пакета ODEPACK</w:t>
      </w:r>
      <w:r w:rsidR="008048F8">
        <w:rPr>
          <w:color w:val="000000" w:themeColor="text1"/>
        </w:rPr>
        <w:t xml:space="preserve"> библиотеки </w:t>
      </w:r>
      <w:r w:rsidR="008048F8">
        <w:rPr>
          <w:color w:val="000000" w:themeColor="text1"/>
          <w:lang w:val="en-US"/>
        </w:rPr>
        <w:t>SciPy</w:t>
      </w:r>
      <w:r w:rsidR="00FC38FC" w:rsidRPr="00FC38FC">
        <w:rPr>
          <w:color w:val="000000" w:themeColor="text1"/>
        </w:rPr>
        <w:t xml:space="preserve">. </w:t>
      </w:r>
      <w:r w:rsidR="008048F8">
        <w:rPr>
          <w:rFonts w:eastAsiaTheme="minorEastAsia"/>
        </w:rPr>
        <w:t>В модели явно учтено взаимодействие эритроцитов и тромбоцито</w:t>
      </w:r>
      <w:r w:rsidR="00C43CDF">
        <w:rPr>
          <w:rFonts w:eastAsiaTheme="minorEastAsia"/>
        </w:rPr>
        <w:t>в</w:t>
      </w:r>
      <w:r w:rsidR="008048F8">
        <w:rPr>
          <w:rFonts w:eastAsiaTheme="minorEastAsia"/>
        </w:rPr>
        <w:t xml:space="preserve"> через путь </w:t>
      </w:r>
      <w:proofErr w:type="spellStart"/>
      <w:r w:rsidR="008048F8" w:rsidRPr="00417D0C">
        <w:t>FasL</w:t>
      </w:r>
      <w:proofErr w:type="spellEnd"/>
      <w:r w:rsidR="008048F8" w:rsidRPr="00417D0C">
        <w:t>/</w:t>
      </w:r>
      <w:proofErr w:type="spellStart"/>
      <w:r w:rsidR="008048F8" w:rsidRPr="00417D0C">
        <w:t>FasR</w:t>
      </w:r>
      <w:proofErr w:type="spellEnd"/>
      <w:r w:rsidR="008048F8">
        <w:t xml:space="preserve">, это является основным механизмом появления </w:t>
      </w:r>
      <w:proofErr w:type="spellStart"/>
      <w:r w:rsidR="008048F8">
        <w:t>фосфатидилсерина</w:t>
      </w:r>
      <w:proofErr w:type="spellEnd"/>
      <w:r w:rsidR="008048F8">
        <w:t xml:space="preserve"> на внешних мембранах эритроцитов</w:t>
      </w:r>
      <w:r w:rsidR="002D4492">
        <w:rPr>
          <w:rFonts w:eastAsiaTheme="minorEastAsia"/>
        </w:rPr>
        <w:t>.</w:t>
      </w:r>
      <w:r w:rsidR="008048F8">
        <w:rPr>
          <w:rFonts w:eastAsiaTheme="minorEastAsia"/>
        </w:rPr>
        <w:t xml:space="preserve"> </w:t>
      </w:r>
      <w:r w:rsidR="00FF51A9">
        <w:rPr>
          <w:rFonts w:eastAsiaTheme="minorEastAsia"/>
        </w:rPr>
        <w:t>В системе присутс</w:t>
      </w:r>
      <w:r w:rsidR="008C45DE">
        <w:rPr>
          <w:rFonts w:eastAsiaTheme="minorEastAsia"/>
        </w:rPr>
        <w:t>т</w:t>
      </w:r>
      <w:r w:rsidR="00FF51A9">
        <w:rPr>
          <w:rFonts w:eastAsiaTheme="minorEastAsia"/>
        </w:rPr>
        <w:t xml:space="preserve">вуют ингибиторы, подавляющие протекание реакций. </w:t>
      </w:r>
      <w:r w:rsidR="008048F8">
        <w:rPr>
          <w:rFonts w:eastAsiaTheme="minorEastAsia"/>
        </w:rPr>
        <w:t xml:space="preserve">Также учтены механизмы высвобождения АДФ из плотных гранул активированных тромбоцитов, влияния гематокрита на вероятность контактов клеток крови. </w:t>
      </w:r>
      <w:r w:rsidR="008048F8" w:rsidRPr="008048F8">
        <w:rPr>
          <w:rFonts w:eastAsiaTheme="minorEastAsia"/>
        </w:rPr>
        <w:t>В рамках модели тромбоциты реагируют на АДФ лишь при его накоплении до определённого порогового уровня; до достижения этого значения входящие сигналы не индуцируют активацию.</w:t>
      </w:r>
      <w:r w:rsidR="00FF51A9">
        <w:rPr>
          <w:rFonts w:eastAsiaTheme="minorEastAsia"/>
        </w:rPr>
        <w:t xml:space="preserve"> </w:t>
      </w:r>
      <w:r w:rsidR="002D4492">
        <w:rPr>
          <w:rFonts w:eastAsiaTheme="minorEastAsia"/>
        </w:rPr>
        <w:t xml:space="preserve"> </w:t>
      </w:r>
    </w:p>
    <w:p w14:paraId="28A5D748" w14:textId="518D0D77" w:rsidR="00FB3114" w:rsidRDefault="00FF51A9" w:rsidP="00417D0C">
      <w:pPr>
        <w:ind w:firstLine="397"/>
        <w:jc w:val="both"/>
        <w:rPr>
          <w:rFonts w:eastAsiaTheme="minorEastAsia"/>
        </w:rPr>
      </w:pPr>
      <w:r w:rsidRPr="00FF51A9">
        <w:rPr>
          <w:rFonts w:eastAsiaTheme="minorEastAsia"/>
        </w:rPr>
        <w:t>Анализ результатов моделирования</w:t>
      </w:r>
      <w:r>
        <w:rPr>
          <w:rFonts w:eastAsiaTheme="minorEastAsia"/>
        </w:rPr>
        <w:t xml:space="preserve"> (рис. </w:t>
      </w:r>
      <w:r w:rsidR="00BC07CB">
        <w:rPr>
          <w:rFonts w:eastAsiaTheme="minorEastAsia"/>
        </w:rPr>
        <w:t>1.</w:t>
      </w:r>
      <w:r>
        <w:rPr>
          <w:rFonts w:eastAsiaTheme="minorEastAsia"/>
        </w:rPr>
        <w:t>)</w:t>
      </w:r>
      <w:r w:rsidRPr="00FF51A9">
        <w:rPr>
          <w:rFonts w:eastAsiaTheme="minorEastAsia"/>
        </w:rPr>
        <w:t xml:space="preserve"> показал, что</w:t>
      </w:r>
      <w:r w:rsidRPr="00FF51A9">
        <w:t xml:space="preserve"> </w:t>
      </w:r>
      <w:r>
        <w:rPr>
          <w:rFonts w:eastAsiaTheme="minorEastAsia"/>
        </w:rPr>
        <w:t>у</w:t>
      </w:r>
      <w:r w:rsidRPr="00FF51A9">
        <w:rPr>
          <w:rFonts w:eastAsiaTheme="minorEastAsia"/>
        </w:rPr>
        <w:t xml:space="preserve">величение скорости образования </w:t>
      </w:r>
      <w:proofErr w:type="spellStart"/>
      <w:r w:rsidRPr="00FF51A9">
        <w:rPr>
          <w:rFonts w:eastAsiaTheme="minorEastAsia"/>
        </w:rPr>
        <w:t>фосфатидилсерина</w:t>
      </w:r>
      <w:proofErr w:type="spellEnd"/>
      <w:r w:rsidRPr="00FF51A9">
        <w:rPr>
          <w:rFonts w:eastAsiaTheme="minorEastAsia"/>
        </w:rPr>
        <w:t xml:space="preserve"> на мембранах эритроцитов приводит к ускорению протекания реакций системы и сопровождается ростом </w:t>
      </w:r>
      <w:r>
        <w:rPr>
          <w:rFonts w:eastAsiaTheme="minorEastAsia"/>
        </w:rPr>
        <w:t>максимальной</w:t>
      </w:r>
      <w:r w:rsidRPr="00FF51A9">
        <w:rPr>
          <w:rFonts w:eastAsiaTheme="minorEastAsia"/>
        </w:rPr>
        <w:t xml:space="preserve"> концентраций активных ферментов.</w:t>
      </w:r>
      <w:r>
        <w:rPr>
          <w:rFonts w:eastAsiaTheme="minorEastAsia"/>
        </w:rPr>
        <w:t xml:space="preserve"> </w:t>
      </w:r>
      <w:r w:rsidR="002D4492">
        <w:rPr>
          <w:rFonts w:eastAsiaTheme="minorEastAsia"/>
        </w:rPr>
        <w:t>Это способствует более быстрому образованию тромбина</w:t>
      </w:r>
      <w:r w:rsidR="00C6021B">
        <w:rPr>
          <w:rFonts w:eastAsiaTheme="minorEastAsia"/>
        </w:rPr>
        <w:t xml:space="preserve"> и как следствие – активации тромбоцитов</w:t>
      </w:r>
      <w:r w:rsidR="00655F12">
        <w:rPr>
          <w:rFonts w:eastAsiaTheme="minorEastAsia"/>
        </w:rPr>
        <w:t xml:space="preserve"> и образованию тромба</w:t>
      </w:r>
      <w:r w:rsidR="00121C62">
        <w:rPr>
          <w:rFonts w:eastAsiaTheme="minorEastAsia"/>
        </w:rPr>
        <w:t>.</w:t>
      </w:r>
      <w:r w:rsidR="00BC07CB">
        <w:rPr>
          <w:rFonts w:eastAsiaTheme="minorEastAsia"/>
        </w:rPr>
        <w:t xml:space="preserve"> В будущем модель может </w:t>
      </w:r>
      <w:r w:rsidR="00BC07CB">
        <w:rPr>
          <w:rFonts w:eastAsiaTheme="minorEastAsia"/>
        </w:rPr>
        <w:lastRenderedPageBreak/>
        <w:t xml:space="preserve">быть использована </w:t>
      </w:r>
      <w:r w:rsidR="00BC07CB" w:rsidRPr="00BC07CB">
        <w:rPr>
          <w:rFonts w:eastAsiaTheme="minorEastAsia"/>
        </w:rPr>
        <w:t>при расчетах динамики роста тромба в аневризмах и застойных областях</w:t>
      </w:r>
      <w:r w:rsidR="00BC07CB">
        <w:rPr>
          <w:rFonts w:eastAsiaTheme="minorEastAsia"/>
        </w:rPr>
        <w:t>.</w:t>
      </w:r>
    </w:p>
    <w:p w14:paraId="137BC892" w14:textId="77777777" w:rsidR="00BC07CB" w:rsidRDefault="00BC07CB" w:rsidP="00417D0C">
      <w:pPr>
        <w:ind w:firstLine="397"/>
        <w:jc w:val="both"/>
        <w:rPr>
          <w:rFonts w:eastAsiaTheme="minorEastAsia"/>
        </w:rPr>
      </w:pPr>
    </w:p>
    <w:p w14:paraId="50F95E9E" w14:textId="189D4B37" w:rsidR="00BC07CB" w:rsidRDefault="003E5CB1" w:rsidP="003E5CB1">
      <w:pPr>
        <w:ind w:right="-283"/>
        <w:jc w:val="both"/>
        <w:rPr>
          <w:rFonts w:eastAsiaTheme="minorEastAsia"/>
        </w:rPr>
      </w:pPr>
      <w:r>
        <w:rPr>
          <w:rFonts w:eastAsiaTheme="minorEastAsia"/>
          <w:noProof/>
          <w14:ligatures w14:val="standardContextual"/>
        </w:rPr>
        <w:drawing>
          <wp:inline distT="0" distB="0" distL="0" distR="0" wp14:anchorId="7C2531EA" wp14:editId="322428A8">
            <wp:extent cx="2962141" cy="2221606"/>
            <wp:effectExtent l="0" t="0" r="0" b="1270"/>
            <wp:docPr id="669994885" name="Рисунок 2" descr="Изображение выглядит как текст, линия, График, диаграмм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994885" name="Рисунок 2" descr="Изображение выглядит как текст, линия, График, диаграмм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301" cy="224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14:ligatures w14:val="standardContextual"/>
        </w:rPr>
        <w:drawing>
          <wp:inline distT="0" distB="0" distL="0" distR="0" wp14:anchorId="655B38C5" wp14:editId="48E01482">
            <wp:extent cx="2978693" cy="2234019"/>
            <wp:effectExtent l="0" t="0" r="6350" b="1270"/>
            <wp:docPr id="1339564135" name="Рисунок 3" descr="Изображение выглядит как текст, линия, График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64135" name="Рисунок 3" descr="Изображение выглядит как текст, линия, График, снимок экран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112" cy="2310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2023F" w14:textId="0F75E38B" w:rsidR="00BC07CB" w:rsidRPr="003E5CB1" w:rsidRDefault="00BC07CB" w:rsidP="00BC07CB">
      <w:pPr>
        <w:ind w:firstLine="397"/>
        <w:jc w:val="center"/>
        <w:rPr>
          <w:rFonts w:eastAsiaTheme="minorEastAsia"/>
        </w:rPr>
      </w:pPr>
      <w:r>
        <w:rPr>
          <w:rFonts w:eastAsiaTheme="minorEastAsia"/>
        </w:rPr>
        <w:t xml:space="preserve">Рис. 1. Увеличение скорости образования и максимальной концентрации гранулированных тромбоцитов при увеличении скорости образования </w:t>
      </w:r>
      <m:oMath>
        <m:sSup>
          <m:sSupPr>
            <m:ctrlPr>
              <w:rPr>
                <w:rFonts w:ascii="Cambria Math" w:eastAsiaTheme="minorHAnsi" w:hAnsi="Cambria Math"/>
                <w:iCs/>
                <w:kern w:val="2"/>
                <w:lang w:val="en-US" w:eastAsia="en-US"/>
                <w14:ligatures w14:val="standardContextual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</m:oMath>
      <w:r w:rsidRPr="00417D0C">
        <w:rPr>
          <w:rFonts w:eastAsiaTheme="minorEastAsia"/>
        </w:rPr>
        <w:t xml:space="preserve"> эритроцитов</w:t>
      </w:r>
      <w:r w:rsidRPr="00BC07CB">
        <w:rPr>
          <w:rFonts w:eastAsiaTheme="minorEastAsia"/>
        </w:rPr>
        <w:t xml:space="preserve"> </w:t>
      </w:r>
      <w:r>
        <w:rPr>
          <w:rFonts w:eastAsiaTheme="minorEastAsia"/>
        </w:rPr>
        <w:t>в 100 раз.</w:t>
      </w:r>
      <w:r w:rsidR="003E5CB1">
        <w:rPr>
          <w:rFonts w:eastAsiaTheme="minorEastAsia"/>
        </w:rPr>
        <w:t xml:space="preserve"> Константа скорости реакции слева: </w:t>
      </w:r>
      <m:oMath>
        <m:r>
          <m:rPr>
            <m:sty m:val="p"/>
          </m:rPr>
          <w:rPr>
            <w:rFonts w:ascii="Cambria Math" w:eastAsiaTheme="minorEastAsia" w:hAnsi="Cambria Math"/>
          </w:rPr>
          <m:t>k=3∙</m:t>
        </m:r>
        <m:sSup>
          <m:sSupPr>
            <m:ctrlPr>
              <w:rPr>
                <w:rFonts w:ascii="Cambria Math" w:eastAsiaTheme="minorEastAsia" w:hAnsi="Cambria Math"/>
                <w:iCs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∙</m:t>
            </m:r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c</m:t>
            </m:r>
          </m:den>
        </m:f>
      </m:oMath>
      <w:r w:rsidR="003E5CB1" w:rsidRPr="003E5CB1">
        <w:rPr>
          <w:rFonts w:eastAsiaTheme="minorEastAsia"/>
          <w:iCs/>
        </w:rPr>
        <w:t xml:space="preserve">, справа </w:t>
      </w:r>
      <m:oMath>
        <m:r>
          <m:rPr>
            <m:sty m:val="p"/>
          </m:rPr>
          <w:rPr>
            <w:rFonts w:ascii="Cambria Math" w:eastAsiaTheme="minorEastAsia" w:hAnsi="Cambria Math"/>
          </w:rPr>
          <m:t>k=3∙</m:t>
        </m:r>
        <m:sSup>
          <m:sSupPr>
            <m:ctrlPr>
              <w:rPr>
                <w:rFonts w:ascii="Cambria Math" w:eastAsiaTheme="minorEastAsia" w:hAnsi="Cambria Math"/>
                <w:iCs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∙</m:t>
            </m:r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c</m:t>
            </m:r>
          </m:den>
        </m:f>
      </m:oMath>
    </w:p>
    <w:p w14:paraId="42B81D20" w14:textId="77777777" w:rsidR="008A00D2" w:rsidRDefault="008A00D2" w:rsidP="00BC07CB">
      <w:pPr>
        <w:ind w:firstLine="397"/>
        <w:jc w:val="center"/>
        <w:rPr>
          <w:rFonts w:eastAsiaTheme="minorEastAsia"/>
        </w:rPr>
      </w:pPr>
    </w:p>
    <w:p w14:paraId="0E413EA1" w14:textId="4915395B" w:rsidR="008A00D2" w:rsidRPr="008C45DE" w:rsidRDefault="008A00D2" w:rsidP="008A00D2">
      <w:pPr>
        <w:jc w:val="both"/>
        <w:rPr>
          <w:rFonts w:eastAsiaTheme="minorEastAsia"/>
        </w:rPr>
      </w:pPr>
      <w:r>
        <w:t>Выражаю благодарность моему научному руководителю Беляеву А.В.</w:t>
      </w:r>
      <w:r w:rsidR="008C45DE" w:rsidRPr="008C45DE">
        <w:t xml:space="preserve"> - </w:t>
      </w:r>
      <w:proofErr w:type="spellStart"/>
      <w:r w:rsidR="008C45DE" w:rsidRPr="008C45DE">
        <w:t>ст.н.с</w:t>
      </w:r>
      <w:proofErr w:type="spellEnd"/>
      <w:r w:rsidR="008C45DE" w:rsidRPr="008C45DE">
        <w:t>. кафедры биофизики физического факультета МГУ</w:t>
      </w:r>
      <w:r w:rsidR="008C45DE" w:rsidRPr="008C45DE">
        <w:t>.</w:t>
      </w:r>
    </w:p>
    <w:p w14:paraId="365EB094" w14:textId="77777777" w:rsidR="00BC07CB" w:rsidRPr="00BC07CB" w:rsidRDefault="00BC07CB" w:rsidP="00BC07CB">
      <w:pPr>
        <w:ind w:firstLine="397"/>
        <w:jc w:val="both"/>
        <w:rPr>
          <w:rFonts w:eastAsiaTheme="minorEastAsia"/>
        </w:rPr>
      </w:pPr>
    </w:p>
    <w:p w14:paraId="6912D3CE" w14:textId="77777777" w:rsidR="00BC07CB" w:rsidRPr="00284040" w:rsidRDefault="00BC07CB" w:rsidP="00417D0C">
      <w:pPr>
        <w:ind w:firstLine="397"/>
        <w:jc w:val="both"/>
        <w:rPr>
          <w:rFonts w:eastAsiaTheme="minorEastAsia"/>
        </w:rPr>
      </w:pPr>
    </w:p>
    <w:p w14:paraId="532C5B77" w14:textId="77777777" w:rsidR="005A023E" w:rsidRPr="00284040" w:rsidRDefault="005A023E" w:rsidP="00417D0C">
      <w:pPr>
        <w:ind w:firstLine="397"/>
        <w:jc w:val="both"/>
        <w:rPr>
          <w:rFonts w:eastAsiaTheme="minorEastAsia"/>
        </w:rPr>
      </w:pPr>
    </w:p>
    <w:p w14:paraId="0DFDF3E6" w14:textId="6A686206" w:rsidR="00121C62" w:rsidRPr="008610EA" w:rsidRDefault="00121C62" w:rsidP="003B188D">
      <w:pPr>
        <w:ind w:firstLine="397"/>
        <w:jc w:val="center"/>
        <w:rPr>
          <w:rFonts w:eastAsiaTheme="minorEastAsia"/>
          <w:b/>
          <w:bCs/>
        </w:rPr>
      </w:pPr>
      <w:r w:rsidRPr="003B188D">
        <w:rPr>
          <w:rFonts w:eastAsiaTheme="minorEastAsia"/>
          <w:b/>
          <w:bCs/>
        </w:rPr>
        <w:t>Литература</w:t>
      </w:r>
    </w:p>
    <w:p w14:paraId="23487586" w14:textId="77777777" w:rsidR="005A023E" w:rsidRPr="008610EA" w:rsidRDefault="005A023E" w:rsidP="003B188D">
      <w:pPr>
        <w:ind w:firstLine="397"/>
        <w:jc w:val="center"/>
        <w:rPr>
          <w:rFonts w:eastAsiaTheme="minorEastAsia"/>
          <w:b/>
          <w:bCs/>
        </w:rPr>
      </w:pPr>
    </w:p>
    <w:p w14:paraId="50AEFBC3" w14:textId="77777777" w:rsidR="00C43CDF" w:rsidRDefault="00C43CDF" w:rsidP="00C43CDF">
      <w:pPr>
        <w:pStyle w:val="a7"/>
        <w:numPr>
          <w:ilvl w:val="0"/>
          <w:numId w:val="3"/>
        </w:numPr>
        <w:ind w:left="426"/>
        <w:rPr>
          <w:color w:val="000000" w:themeColor="text1"/>
        </w:rPr>
      </w:pPr>
      <w:proofErr w:type="spellStart"/>
      <w:r>
        <w:rPr>
          <w:color w:val="000000" w:themeColor="text1"/>
        </w:rPr>
        <w:t>Сусликова</w:t>
      </w:r>
      <w:proofErr w:type="spellEnd"/>
      <w:r>
        <w:rPr>
          <w:color w:val="000000" w:themeColor="text1"/>
        </w:rPr>
        <w:t xml:space="preserve"> М. И., Губина М. И., Александров С. Г., </w:t>
      </w:r>
      <w:proofErr w:type="spellStart"/>
      <w:r>
        <w:rPr>
          <w:color w:val="000000" w:themeColor="text1"/>
        </w:rPr>
        <w:t>Булнаева</w:t>
      </w:r>
      <w:proofErr w:type="spellEnd"/>
      <w:r>
        <w:rPr>
          <w:color w:val="000000" w:themeColor="text1"/>
        </w:rPr>
        <w:t xml:space="preserve"> А. Ф.</w:t>
      </w:r>
    </w:p>
    <w:p w14:paraId="63FD4F9D" w14:textId="77777777" w:rsidR="00C43CDF" w:rsidRDefault="00C43CDF" w:rsidP="00C43CDF">
      <w:pPr>
        <w:pStyle w:val="a7"/>
        <w:ind w:left="426"/>
        <w:rPr>
          <w:color w:val="000000" w:themeColor="text1"/>
        </w:rPr>
      </w:pPr>
      <w:r>
        <w:rPr>
          <w:color w:val="000000" w:themeColor="text1"/>
        </w:rPr>
        <w:t>Избранные вопросы физиологии крови. Иркутск: Иркутский государственный медицинский университет, 2021. — 65-68 с.</w:t>
      </w:r>
    </w:p>
    <w:p w14:paraId="15ACB256" w14:textId="77777777" w:rsidR="008E2638" w:rsidRDefault="008E2638" w:rsidP="008E2638">
      <w:pPr>
        <w:pStyle w:val="a7"/>
        <w:numPr>
          <w:ilvl w:val="0"/>
          <w:numId w:val="3"/>
        </w:numPr>
        <w:ind w:left="426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Bernhardt I., Wesseling M. C., Nguyen D. B., Kaestner L.</w:t>
      </w:r>
    </w:p>
    <w:p w14:paraId="1D424777" w14:textId="77777777" w:rsidR="008E2638" w:rsidRDefault="008E2638" w:rsidP="008E2638">
      <w:pPr>
        <w:pStyle w:val="a7"/>
        <w:ind w:left="426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Red blood cells actively contribute to blood coagulation and thrombus formation. In: Erythrocyte. London: </w:t>
      </w:r>
      <w:proofErr w:type="spellStart"/>
      <w:r>
        <w:rPr>
          <w:color w:val="000000" w:themeColor="text1"/>
          <w:lang w:val="en-US"/>
        </w:rPr>
        <w:t>IntechOpen</w:t>
      </w:r>
      <w:proofErr w:type="spellEnd"/>
      <w:r>
        <w:rPr>
          <w:color w:val="000000" w:themeColor="text1"/>
          <w:lang w:val="en-US"/>
        </w:rPr>
        <w:t>, 2019.</w:t>
      </w:r>
    </w:p>
    <w:p w14:paraId="12BC58E1" w14:textId="77777777" w:rsidR="008E2638" w:rsidRPr="008A00D2" w:rsidRDefault="008E2638" w:rsidP="008E2638">
      <w:pPr>
        <w:pStyle w:val="a7"/>
        <w:ind w:left="426"/>
        <w:rPr>
          <w:color w:val="000000" w:themeColor="text1"/>
          <w:lang w:val="en-US"/>
        </w:rPr>
      </w:pPr>
      <w:r w:rsidRPr="008A00D2">
        <w:rPr>
          <w:color w:val="000000" w:themeColor="text1"/>
          <w:lang w:val="en-US"/>
        </w:rPr>
        <w:t>DOI: 10.5772/intechopen.86152</w:t>
      </w:r>
    </w:p>
    <w:p w14:paraId="241DB030" w14:textId="77777777" w:rsidR="008E2638" w:rsidRDefault="008E2638" w:rsidP="008E2638">
      <w:pPr>
        <w:pStyle w:val="a7"/>
        <w:numPr>
          <w:ilvl w:val="0"/>
          <w:numId w:val="3"/>
        </w:numPr>
        <w:ind w:left="426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Chabin I. A., </w:t>
      </w:r>
      <w:proofErr w:type="spellStart"/>
      <w:r>
        <w:rPr>
          <w:color w:val="000000" w:themeColor="text1"/>
          <w:lang w:val="en-US"/>
        </w:rPr>
        <w:t>Podoplelova</w:t>
      </w:r>
      <w:proofErr w:type="spellEnd"/>
      <w:r>
        <w:rPr>
          <w:color w:val="000000" w:themeColor="text1"/>
          <w:lang w:val="en-US"/>
        </w:rPr>
        <w:t xml:space="preserve"> N. A., </w:t>
      </w:r>
      <w:proofErr w:type="spellStart"/>
      <w:r>
        <w:rPr>
          <w:color w:val="000000" w:themeColor="text1"/>
          <w:lang w:val="en-US"/>
        </w:rPr>
        <w:t>Panteleev</w:t>
      </w:r>
      <w:proofErr w:type="spellEnd"/>
      <w:r>
        <w:rPr>
          <w:color w:val="000000" w:themeColor="text1"/>
          <w:lang w:val="en-US"/>
        </w:rPr>
        <w:t xml:space="preserve"> M. A.</w:t>
      </w:r>
    </w:p>
    <w:p w14:paraId="21FCF2BD" w14:textId="77777777" w:rsidR="008E2638" w:rsidRDefault="008E2638" w:rsidP="008E2638">
      <w:pPr>
        <w:pStyle w:val="a7"/>
        <w:ind w:left="426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Red blood cells contribution in blood coagulation. Pediatric Hematology/Oncology and Immunopathology. — 2022; 21(3):136–141.</w:t>
      </w:r>
    </w:p>
    <w:p w14:paraId="0ED5BEC7" w14:textId="09864FB7" w:rsidR="008E2638" w:rsidRPr="008E2638" w:rsidRDefault="008E2638" w:rsidP="008E2638">
      <w:pPr>
        <w:pStyle w:val="a7"/>
        <w:ind w:left="426"/>
        <w:rPr>
          <w:color w:val="000000" w:themeColor="text1"/>
        </w:rPr>
      </w:pPr>
      <w:r>
        <w:rPr>
          <w:color w:val="000000" w:themeColor="text1"/>
        </w:rPr>
        <w:t>DOI: 10.24287/1726-1708-2022-21-3-136-14</w:t>
      </w:r>
    </w:p>
    <w:p w14:paraId="00ACE5D8" w14:textId="77777777" w:rsidR="008E2638" w:rsidRDefault="008E2638" w:rsidP="008E2638">
      <w:pPr>
        <w:pStyle w:val="a7"/>
        <w:numPr>
          <w:ilvl w:val="0"/>
          <w:numId w:val="3"/>
        </w:numPr>
        <w:ind w:left="426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Klatt C., Krüger I., Zey S., Krott K.-J., </w:t>
      </w:r>
      <w:proofErr w:type="spellStart"/>
      <w:r>
        <w:rPr>
          <w:color w:val="000000" w:themeColor="text1"/>
          <w:lang w:val="en-US"/>
        </w:rPr>
        <w:t>Spelleken</w:t>
      </w:r>
      <w:proofErr w:type="spellEnd"/>
      <w:r>
        <w:rPr>
          <w:color w:val="000000" w:themeColor="text1"/>
          <w:lang w:val="en-US"/>
        </w:rPr>
        <w:t xml:space="preserve"> M., </w:t>
      </w:r>
      <w:proofErr w:type="spellStart"/>
      <w:r>
        <w:rPr>
          <w:color w:val="000000" w:themeColor="text1"/>
          <w:lang w:val="en-US"/>
        </w:rPr>
        <w:t>Gowert</w:t>
      </w:r>
      <w:proofErr w:type="spellEnd"/>
      <w:r>
        <w:rPr>
          <w:color w:val="000000" w:themeColor="text1"/>
          <w:lang w:val="en-US"/>
        </w:rPr>
        <w:t xml:space="preserve"> N. S., </w:t>
      </w:r>
      <w:proofErr w:type="spellStart"/>
      <w:r>
        <w:rPr>
          <w:color w:val="000000" w:themeColor="text1"/>
          <w:lang w:val="en-US"/>
        </w:rPr>
        <w:t>Oberhuber</w:t>
      </w:r>
      <w:proofErr w:type="spellEnd"/>
      <w:r>
        <w:rPr>
          <w:color w:val="000000" w:themeColor="text1"/>
          <w:lang w:val="en-US"/>
        </w:rPr>
        <w:t xml:space="preserve"> A., Pfaff L., </w:t>
      </w:r>
      <w:proofErr w:type="spellStart"/>
      <w:r>
        <w:rPr>
          <w:color w:val="000000" w:themeColor="text1"/>
          <w:lang w:val="en-US"/>
        </w:rPr>
        <w:t>Lückstädt</w:t>
      </w:r>
      <w:proofErr w:type="spellEnd"/>
      <w:r>
        <w:rPr>
          <w:color w:val="000000" w:themeColor="text1"/>
          <w:lang w:val="en-US"/>
        </w:rPr>
        <w:t xml:space="preserve"> W., Jurk K., Schaller M., Al-Hasani H., Schrader J., </w:t>
      </w:r>
      <w:proofErr w:type="spellStart"/>
      <w:r>
        <w:rPr>
          <w:color w:val="000000" w:themeColor="text1"/>
          <w:lang w:val="en-US"/>
        </w:rPr>
        <w:t>Massberg</w:t>
      </w:r>
      <w:proofErr w:type="spellEnd"/>
      <w:r>
        <w:rPr>
          <w:color w:val="000000" w:themeColor="text1"/>
          <w:lang w:val="en-US"/>
        </w:rPr>
        <w:t xml:space="preserve"> S., Stark K., </w:t>
      </w:r>
      <w:proofErr w:type="spellStart"/>
      <w:r>
        <w:rPr>
          <w:color w:val="000000" w:themeColor="text1"/>
          <w:lang w:val="en-US"/>
        </w:rPr>
        <w:t>Schelzig</w:t>
      </w:r>
      <w:proofErr w:type="spellEnd"/>
      <w:r>
        <w:rPr>
          <w:color w:val="000000" w:themeColor="text1"/>
          <w:lang w:val="en-US"/>
        </w:rPr>
        <w:t xml:space="preserve"> H., Kelm M., Elvers M.</w:t>
      </w:r>
    </w:p>
    <w:p w14:paraId="03FA3217" w14:textId="77777777" w:rsidR="008E2638" w:rsidRDefault="008E2638" w:rsidP="008E2638">
      <w:pPr>
        <w:pStyle w:val="a7"/>
        <w:ind w:left="426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Platelet-RBC interaction mediated by </w:t>
      </w:r>
      <w:proofErr w:type="spellStart"/>
      <w:r>
        <w:rPr>
          <w:color w:val="000000" w:themeColor="text1"/>
          <w:lang w:val="en-US"/>
        </w:rPr>
        <w:t>FasL</w:t>
      </w:r>
      <w:proofErr w:type="spellEnd"/>
      <w:r>
        <w:rPr>
          <w:color w:val="000000" w:themeColor="text1"/>
          <w:lang w:val="en-US"/>
        </w:rPr>
        <w:t>/</w:t>
      </w:r>
      <w:proofErr w:type="spellStart"/>
      <w:r>
        <w:rPr>
          <w:color w:val="000000" w:themeColor="text1"/>
          <w:lang w:val="en-US"/>
        </w:rPr>
        <w:t>FasR</w:t>
      </w:r>
      <w:proofErr w:type="spellEnd"/>
      <w:r>
        <w:rPr>
          <w:color w:val="000000" w:themeColor="text1"/>
          <w:lang w:val="en-US"/>
        </w:rPr>
        <w:t xml:space="preserve"> induces procoagulant activity important for thrombosis. Journal of Clinical Investigation. — 2018 Aug 31; 128(9):3906–3925.</w:t>
      </w:r>
    </w:p>
    <w:p w14:paraId="30604CB0" w14:textId="77777777" w:rsidR="008E2638" w:rsidRDefault="008E2638" w:rsidP="008E2638">
      <w:pPr>
        <w:pStyle w:val="a7"/>
        <w:ind w:left="426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DOI: 10.1172/JCI92077</w:t>
      </w:r>
    </w:p>
    <w:p w14:paraId="07E429D5" w14:textId="1B3118C0" w:rsidR="00C43CDF" w:rsidRDefault="00C43CDF" w:rsidP="00C43CDF">
      <w:pPr>
        <w:pStyle w:val="a7"/>
        <w:numPr>
          <w:ilvl w:val="0"/>
          <w:numId w:val="3"/>
        </w:numPr>
        <w:ind w:left="426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Steffen P., Jung A., Nguyen D. B., Müller T., Bernhardt I., Kaestner L., Wagner C.</w:t>
      </w:r>
    </w:p>
    <w:p w14:paraId="065FB997" w14:textId="77777777" w:rsidR="00C43CDF" w:rsidRPr="008E2638" w:rsidRDefault="00C43CDF" w:rsidP="00C43CDF">
      <w:pPr>
        <w:pStyle w:val="a7"/>
        <w:ind w:left="426"/>
        <w:rPr>
          <w:lang w:val="en-US"/>
        </w:rPr>
      </w:pPr>
      <w:r>
        <w:rPr>
          <w:color w:val="000000" w:themeColor="text1"/>
          <w:lang w:val="en-US"/>
        </w:rPr>
        <w:t>Stimulation of human red blood cells leads to Ca²⁺-mediated intercellular adhesion. Cell Calcium. — 2011. — Vol. 50, No. 1. — P. 54–61.</w:t>
      </w:r>
      <w:r w:rsidRPr="00C43CDF">
        <w:rPr>
          <w:lang w:val="en-US"/>
        </w:rPr>
        <w:t xml:space="preserve"> </w:t>
      </w:r>
    </w:p>
    <w:p w14:paraId="57258427" w14:textId="5C6413FD" w:rsidR="00C43CDF" w:rsidRDefault="00C43CDF" w:rsidP="00C43CDF">
      <w:pPr>
        <w:pStyle w:val="a7"/>
        <w:ind w:left="426"/>
        <w:rPr>
          <w:color w:val="000000" w:themeColor="text1"/>
          <w:lang w:val="en-US"/>
        </w:rPr>
      </w:pPr>
      <w:r w:rsidRPr="00C43CDF">
        <w:rPr>
          <w:color w:val="000000" w:themeColor="text1"/>
          <w:lang w:val="en-US"/>
        </w:rPr>
        <w:t>DOI: 10.1016/j.ceca.2011.05.002</w:t>
      </w:r>
    </w:p>
    <w:p w14:paraId="048937BB" w14:textId="77777777" w:rsidR="008A243D" w:rsidRPr="008A243D" w:rsidRDefault="008A243D" w:rsidP="00C43CDF">
      <w:pPr>
        <w:pStyle w:val="a7"/>
        <w:ind w:left="0"/>
        <w:rPr>
          <w:color w:val="000000" w:themeColor="text1"/>
          <w:lang w:val="en-US"/>
        </w:rPr>
      </w:pPr>
    </w:p>
    <w:p w14:paraId="3A476E89" w14:textId="5392BFEE" w:rsidR="003B6344" w:rsidRPr="008E2638" w:rsidRDefault="003B6344" w:rsidP="008E2638">
      <w:pPr>
        <w:ind w:right="1"/>
      </w:pPr>
    </w:p>
    <w:sectPr w:rsidR="003B6344" w:rsidRPr="008E2638" w:rsidSect="005F02D4">
      <w:pgSz w:w="11906" w:h="16838"/>
      <w:pgMar w:top="1428" w:right="1274" w:bottom="144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7DBD"/>
    <w:multiLevelType w:val="multilevel"/>
    <w:tmpl w:val="1E5C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E0845"/>
    <w:multiLevelType w:val="hybridMultilevel"/>
    <w:tmpl w:val="02E467F8"/>
    <w:lvl w:ilvl="0" w:tplc="CEDC4C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CC3686"/>
    <w:multiLevelType w:val="hybridMultilevel"/>
    <w:tmpl w:val="3190B254"/>
    <w:lvl w:ilvl="0" w:tplc="F31ADDB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61622"/>
    <w:multiLevelType w:val="hybridMultilevel"/>
    <w:tmpl w:val="3190B25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117910">
    <w:abstractNumId w:val="2"/>
  </w:num>
  <w:num w:numId="2" w16cid:durableId="1115638388">
    <w:abstractNumId w:val="3"/>
  </w:num>
  <w:num w:numId="3" w16cid:durableId="2049908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9881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A7"/>
    <w:rsid w:val="0004105D"/>
    <w:rsid w:val="00057859"/>
    <w:rsid w:val="00065F46"/>
    <w:rsid w:val="00070B18"/>
    <w:rsid w:val="0008194A"/>
    <w:rsid w:val="00091B48"/>
    <w:rsid w:val="000C06C5"/>
    <w:rsid w:val="000D09A7"/>
    <w:rsid w:val="0010530A"/>
    <w:rsid w:val="00121C62"/>
    <w:rsid w:val="001367EC"/>
    <w:rsid w:val="00147865"/>
    <w:rsid w:val="00147912"/>
    <w:rsid w:val="001600F2"/>
    <w:rsid w:val="00183411"/>
    <w:rsid w:val="00183DE0"/>
    <w:rsid w:val="001C5A29"/>
    <w:rsid w:val="00216B6D"/>
    <w:rsid w:val="00242ED4"/>
    <w:rsid w:val="002543DD"/>
    <w:rsid w:val="00284040"/>
    <w:rsid w:val="00294459"/>
    <w:rsid w:val="002B3520"/>
    <w:rsid w:val="002D4492"/>
    <w:rsid w:val="002F5F01"/>
    <w:rsid w:val="00335800"/>
    <w:rsid w:val="003B188D"/>
    <w:rsid w:val="003B6344"/>
    <w:rsid w:val="003E5CB1"/>
    <w:rsid w:val="00413BAE"/>
    <w:rsid w:val="00417D0C"/>
    <w:rsid w:val="00466324"/>
    <w:rsid w:val="004969DB"/>
    <w:rsid w:val="00496B39"/>
    <w:rsid w:val="004A0FFB"/>
    <w:rsid w:val="004A5821"/>
    <w:rsid w:val="004B51C9"/>
    <w:rsid w:val="004C3E8E"/>
    <w:rsid w:val="004E0E34"/>
    <w:rsid w:val="00525094"/>
    <w:rsid w:val="00527368"/>
    <w:rsid w:val="00530058"/>
    <w:rsid w:val="00546C85"/>
    <w:rsid w:val="00550681"/>
    <w:rsid w:val="00552C06"/>
    <w:rsid w:val="00587B29"/>
    <w:rsid w:val="00594251"/>
    <w:rsid w:val="005A023E"/>
    <w:rsid w:val="005A11C9"/>
    <w:rsid w:val="005D3C8B"/>
    <w:rsid w:val="005F02D4"/>
    <w:rsid w:val="006279F5"/>
    <w:rsid w:val="00642089"/>
    <w:rsid w:val="00655F12"/>
    <w:rsid w:val="00682D71"/>
    <w:rsid w:val="006B3E0F"/>
    <w:rsid w:val="00702C4B"/>
    <w:rsid w:val="0070644B"/>
    <w:rsid w:val="00713A90"/>
    <w:rsid w:val="00721C4E"/>
    <w:rsid w:val="00721EB1"/>
    <w:rsid w:val="00741D09"/>
    <w:rsid w:val="00754448"/>
    <w:rsid w:val="0079756A"/>
    <w:rsid w:val="007B0ED2"/>
    <w:rsid w:val="007B3E2F"/>
    <w:rsid w:val="007B7407"/>
    <w:rsid w:val="007F294F"/>
    <w:rsid w:val="008048F8"/>
    <w:rsid w:val="008610EA"/>
    <w:rsid w:val="00892D43"/>
    <w:rsid w:val="008A00D2"/>
    <w:rsid w:val="008A243D"/>
    <w:rsid w:val="008C45DE"/>
    <w:rsid w:val="008E2638"/>
    <w:rsid w:val="009441EC"/>
    <w:rsid w:val="00945BAD"/>
    <w:rsid w:val="00954D11"/>
    <w:rsid w:val="009671F7"/>
    <w:rsid w:val="009B35C7"/>
    <w:rsid w:val="00A33E27"/>
    <w:rsid w:val="00A93C00"/>
    <w:rsid w:val="00AB0CAA"/>
    <w:rsid w:val="00AB0D66"/>
    <w:rsid w:val="00AE0B4B"/>
    <w:rsid w:val="00AF468C"/>
    <w:rsid w:val="00B11F34"/>
    <w:rsid w:val="00B241F8"/>
    <w:rsid w:val="00B56958"/>
    <w:rsid w:val="00B67645"/>
    <w:rsid w:val="00BC07CB"/>
    <w:rsid w:val="00C065F4"/>
    <w:rsid w:val="00C0798B"/>
    <w:rsid w:val="00C11D90"/>
    <w:rsid w:val="00C22B45"/>
    <w:rsid w:val="00C41887"/>
    <w:rsid w:val="00C43CDF"/>
    <w:rsid w:val="00C56889"/>
    <w:rsid w:val="00C6021B"/>
    <w:rsid w:val="00CE37C9"/>
    <w:rsid w:val="00D02521"/>
    <w:rsid w:val="00D0721E"/>
    <w:rsid w:val="00D60D4F"/>
    <w:rsid w:val="00D63066"/>
    <w:rsid w:val="00D80160"/>
    <w:rsid w:val="00D86C2A"/>
    <w:rsid w:val="00E1439F"/>
    <w:rsid w:val="00E31665"/>
    <w:rsid w:val="00E5202E"/>
    <w:rsid w:val="00EC2987"/>
    <w:rsid w:val="00F13ED7"/>
    <w:rsid w:val="00F5663B"/>
    <w:rsid w:val="00F573D5"/>
    <w:rsid w:val="00F9431D"/>
    <w:rsid w:val="00FB3114"/>
    <w:rsid w:val="00FB3F8F"/>
    <w:rsid w:val="00FC38FC"/>
    <w:rsid w:val="00FD05CA"/>
    <w:rsid w:val="00FE7C50"/>
    <w:rsid w:val="00FF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A44C"/>
  <w15:chartTrackingRefBased/>
  <w15:docId w15:val="{FFAD7076-3E49-F54B-B60F-1CD60C60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CDF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0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9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9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9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9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9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9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0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09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09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09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09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09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09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09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09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0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0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0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09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09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09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0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09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09A7"/>
    <w:rPr>
      <w:b/>
      <w:bCs/>
      <w:smallCaps/>
      <w:color w:val="2F5496" w:themeColor="accent1" w:themeShade="BF"/>
      <w:spacing w:val="5"/>
    </w:rPr>
  </w:style>
  <w:style w:type="character" w:styleId="ac">
    <w:name w:val="Emphasis"/>
    <w:basedOn w:val="a0"/>
    <w:uiPriority w:val="20"/>
    <w:qFormat/>
    <w:rsid w:val="000D09A7"/>
    <w:rPr>
      <w:i/>
      <w:iCs/>
    </w:rPr>
  </w:style>
  <w:style w:type="character" w:styleId="ad">
    <w:name w:val="Hyperlink"/>
    <w:basedOn w:val="a0"/>
    <w:uiPriority w:val="99"/>
    <w:unhideWhenUsed/>
    <w:rsid w:val="000D09A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D09A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0D09A7"/>
  </w:style>
  <w:style w:type="character" w:styleId="af">
    <w:name w:val="Placeholder Text"/>
    <w:basedOn w:val="a0"/>
    <w:uiPriority w:val="99"/>
    <w:semiHidden/>
    <w:rsid w:val="004969DB"/>
    <w:rPr>
      <w:color w:val="666666"/>
    </w:rPr>
  </w:style>
  <w:style w:type="paragraph" w:customStyle="1" w:styleId="p1">
    <w:name w:val="p1"/>
    <w:basedOn w:val="a"/>
    <w:rsid w:val="00C065F4"/>
    <w:rPr>
      <w:color w:val="000000"/>
      <w:sz w:val="21"/>
      <w:szCs w:val="21"/>
    </w:rPr>
  </w:style>
  <w:style w:type="character" w:customStyle="1" w:styleId="s1">
    <w:name w:val="s1"/>
    <w:basedOn w:val="a0"/>
    <w:rsid w:val="00C065F4"/>
    <w:rPr>
      <w:rFonts w:ascii="Times New Roman" w:hAnsi="Times New Roman" w:cs="Times New Roman" w:hint="default"/>
      <w:sz w:val="18"/>
      <w:szCs w:val="18"/>
    </w:rPr>
  </w:style>
  <w:style w:type="character" w:customStyle="1" w:styleId="given-name">
    <w:name w:val="given-name"/>
    <w:basedOn w:val="a0"/>
    <w:rsid w:val="000C06C5"/>
  </w:style>
  <w:style w:type="character" w:customStyle="1" w:styleId="text">
    <w:name w:val="text"/>
    <w:basedOn w:val="a0"/>
    <w:rsid w:val="000C06C5"/>
  </w:style>
  <w:style w:type="character" w:customStyle="1" w:styleId="title-text">
    <w:name w:val="title-text"/>
    <w:basedOn w:val="a0"/>
    <w:rsid w:val="00C22B45"/>
  </w:style>
  <w:style w:type="character" w:customStyle="1" w:styleId="publication-header-authorfont-weight-normal">
    <w:name w:val="publication-header-author__font-weight-normal"/>
    <w:basedOn w:val="a0"/>
    <w:rsid w:val="00EC2987"/>
  </w:style>
  <w:style w:type="character" w:customStyle="1" w:styleId="authors-list-item">
    <w:name w:val="authors-list-item"/>
    <w:basedOn w:val="a0"/>
    <w:rsid w:val="00147865"/>
  </w:style>
  <w:style w:type="character" w:customStyle="1" w:styleId="author-sup-separator">
    <w:name w:val="author-sup-separator"/>
    <w:basedOn w:val="a0"/>
    <w:rsid w:val="00147865"/>
  </w:style>
  <w:style w:type="character" w:customStyle="1" w:styleId="comma">
    <w:name w:val="comma"/>
    <w:basedOn w:val="a0"/>
    <w:rsid w:val="00147865"/>
  </w:style>
  <w:style w:type="character" w:styleId="af0">
    <w:name w:val="FollowedHyperlink"/>
    <w:basedOn w:val="a0"/>
    <w:uiPriority w:val="99"/>
    <w:semiHidden/>
    <w:unhideWhenUsed/>
    <w:rsid w:val="0070644B"/>
    <w:rPr>
      <w:color w:val="954F72" w:themeColor="followedHyperlink"/>
      <w:u w:val="single"/>
    </w:rPr>
  </w:style>
  <w:style w:type="character" w:customStyle="1" w:styleId="vkekvd">
    <w:name w:val="vkekvd"/>
    <w:basedOn w:val="a0"/>
    <w:rsid w:val="00F5663B"/>
  </w:style>
  <w:style w:type="character" w:styleId="af1">
    <w:name w:val="Strong"/>
    <w:basedOn w:val="a0"/>
    <w:uiPriority w:val="22"/>
    <w:qFormat/>
    <w:rsid w:val="00FC38FC"/>
    <w:rPr>
      <w:b/>
      <w:bCs/>
    </w:rPr>
  </w:style>
  <w:style w:type="character" w:customStyle="1" w:styleId="identifier">
    <w:name w:val="identifier"/>
    <w:basedOn w:val="a0"/>
    <w:rsid w:val="00C43CDF"/>
  </w:style>
  <w:style w:type="character" w:customStyle="1" w:styleId="id-label">
    <w:name w:val="id-label"/>
    <w:basedOn w:val="a0"/>
    <w:rsid w:val="00C43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196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1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42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33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25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09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53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8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87352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7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03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12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48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020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11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9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675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1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88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741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8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9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95528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08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73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08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353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987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2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2817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0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64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47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42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51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5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0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0919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8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7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56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12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0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119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2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8375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3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4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6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91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472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70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5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2592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2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0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90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18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n.sergeeva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AE9377-FEDB-AC43-99D0-8FB964D92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 Сергеева</dc:creator>
  <cp:keywords/>
  <dc:description/>
  <cp:lastModifiedBy>Маша Сергеева</cp:lastModifiedBy>
  <cp:revision>2</cp:revision>
  <dcterms:created xsi:type="dcterms:W3CDTF">2026-02-27T11:42:00Z</dcterms:created>
  <dcterms:modified xsi:type="dcterms:W3CDTF">2026-02-27T11:42:00Z</dcterms:modified>
</cp:coreProperties>
</file>