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209FD6A" w14:textId="77777777" w:rsidR="00383FA2" w:rsidRDefault="00383FA2">
      <w:pPr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</w:p>
    <w:p w14:paraId="144B9970" w14:textId="77777777" w:rsidR="00383FA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Исследование различных сил, действующих на шатун, с использованием метода конечных элементов</w:t>
      </w:r>
    </w:p>
    <w:p w14:paraId="334A0D91" w14:textId="77777777" w:rsidR="00383FA2" w:rsidRDefault="00383FA2">
      <w:pPr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</w:p>
    <w:p w14:paraId="3AF75023" w14:textId="77777777" w:rsidR="00383FA2" w:rsidRDefault="00000000">
      <w:pPr>
        <w:jc w:val="center"/>
        <w:rPr>
          <w:rFonts w:ascii="Times New Roman" w:eastAsia="Times New Roman" w:hAnsi="Times New Roman" w:cs="Times New Roman"/>
          <w:b/>
          <w:bCs/>
          <w:i/>
          <w:iCs/>
        </w:rPr>
      </w:pPr>
      <w:proofErr w:type="spellStart"/>
      <w:r>
        <w:rPr>
          <w:rFonts w:ascii="Times New Roman" w:eastAsia="Times New Roman" w:hAnsi="Times New Roman" w:cs="Times New Roman"/>
          <w:b/>
          <w:bCs/>
          <w:i/>
          <w:iCs/>
        </w:rPr>
        <w:t>Карьягды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</w:rPr>
        <w:t xml:space="preserve"> Хаджи Али</w:t>
      </w:r>
    </w:p>
    <w:p w14:paraId="3CCA2E19" w14:textId="77777777" w:rsidR="00383FA2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</w:rPr>
      </w:pPr>
      <w:r>
        <w:rPr>
          <w:rFonts w:ascii="Times New Roman" w:eastAsia="Times New Roman" w:hAnsi="Times New Roman" w:cs="Times New Roman"/>
          <w:i/>
          <w:iCs/>
        </w:rPr>
        <w:t xml:space="preserve">Студент, </w:t>
      </w:r>
    </w:p>
    <w:p w14:paraId="335757B0" w14:textId="77777777" w:rsidR="00383FA2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Санкт-Петербургский политехнический университет Петра Великого, </w:t>
      </w:r>
      <w:r>
        <w:rPr>
          <w:rFonts w:ascii="Times New Roman" w:eastAsia="Times New Roman" w:hAnsi="Times New Roman" w:cs="Times New Roman"/>
          <w:i/>
          <w:iCs/>
        </w:rPr>
        <w:t>Санкт-Петербург, Россия</w:t>
      </w:r>
    </w:p>
    <w:p w14:paraId="38CBD647" w14:textId="77777777" w:rsidR="00383FA2" w:rsidRDefault="00000000">
      <w:pPr>
        <w:jc w:val="center"/>
      </w:pPr>
      <w:r>
        <w:rPr>
          <w:rFonts w:ascii="Times New Roman" w:eastAsia="Times New Roman" w:hAnsi="Times New Roman" w:cs="Times New Roman"/>
        </w:rPr>
        <w:t xml:space="preserve">E-mail: </w:t>
      </w:r>
      <w:r>
        <w:rPr>
          <w:u w:val="single"/>
        </w:rPr>
        <w:t>alikrygdi@gmail.com</w:t>
      </w:r>
    </w:p>
    <w:p w14:paraId="7EE82560" w14:textId="77777777" w:rsidR="00383FA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Метод конечных элементов работает по принципу «от части к целому». Конечные элементы применяются путем разделения конструкций на различные элементы. Первое и наиболее распространенное применение этого метода — анализ напряжений. Конечные элементы представляют собой конструкции элементов, решаемые с помощью компьютера, из-за сложности формулировки реальной геометрии. После этого процесса к каждой сетке с более простой геометрией применяются известные математические и физические формулы.</w:t>
      </w:r>
    </w:p>
    <w:p w14:paraId="2AEECDEF" w14:textId="2D1229D2" w:rsidR="00383FA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Реальное геометрическое тело сложно полностью описать с помощью анализа напряжений методом конечных элементов. Поэтому имитационная модель этого тела создается из элементов, которые легко сформировать на компьютере. Затем вычисления выполняются путем применения всех известных физических законов к каждому элементу модели, которая имеет более простую геометрию и состоит из небольших элементов. Для того чтобы все тело можно было разделить на элементы, оно должно иметь взаимосвязанную структуру. Численная модель — это тело, разделенное на элементы на основе его размера и геометрии. В данном исследовании был проведен статический анализ сил, действующих на шатун, передающий мощность от поршня к коленчатому валу в автомобильных двигателях. Материал шатуна — нержавеющая сталь 12X2H4A. Анализ проводился с использованием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Ansys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Workbench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при этом в месте соединения поршневого пальца и шатуна прикладывались силы величиной 25, 50 и 75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кН.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Наблюдалось влияние изменения значений силы на шатун. С увеличением приложенной силы наблюдалось увеличение упругого удлинения, распределения напряжений, деформаций и значений касательного напряжения. Использовалась тетраэдрическая сетка. При приложении силы 25 кН значение напряжения составило 0,0002, значение полной деформации — 38,951 МПа, а значение полной деформации — 0,0021 мм. При приложении силы 50 кН значение напряжения составило 0,00042, значение полной деформации — 77,902 МПа, а значение полной деформации — 0,0043 мм. При приложении силы в 75 кН значение растяжения составило 0,00063, значение напряжения — 106,85 МПа, а значение общей деформации — 0,0065 мм.</w:t>
      </w:r>
    </w:p>
    <w:p w14:paraId="265F1F9E" w14:textId="77777777" w:rsidR="00383FA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 шатунов материал был выбран в зависимости от температуры цилиндре, давления в цилиндре, объема цилиндра и соответствующих размеров деталей. В данном исследовании в качестве материала для шатунов была выбрана нержавеющая сталь 12X2H4A. Свойства материала приведены в таблице 1. [</w:t>
      </w:r>
      <w:r>
        <w:rPr>
          <w:rFonts w:ascii="Times New Roman" w:eastAsia="Times New Roman" w:hAnsi="Times New Roman" w:cs="Times New Roman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]</w:t>
      </w:r>
    </w:p>
    <w:p w14:paraId="2A4CC96A" w14:textId="77777777" w:rsidR="00383FA2" w:rsidRDefault="00383FA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ED7B941" w14:textId="77777777" w:rsidR="00383FA2" w:rsidRDefault="00000000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Таблица 1. Свойства материала из нержавеющей стали</w:t>
      </w:r>
    </w:p>
    <w:tbl>
      <w:tblPr>
        <w:tblStyle w:val="a8"/>
        <w:tblW w:w="913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27"/>
        <w:gridCol w:w="1827"/>
        <w:gridCol w:w="1827"/>
        <w:gridCol w:w="1827"/>
        <w:gridCol w:w="1827"/>
      </w:tblGrid>
      <w:tr w:rsidR="00383FA2" w14:paraId="79308D02" w14:textId="77777777">
        <w:trPr>
          <w:trHeight w:val="673"/>
        </w:trPr>
        <w:tc>
          <w:tcPr>
            <w:tcW w:w="1827" w:type="dxa"/>
          </w:tcPr>
          <w:p w14:paraId="14EAD2F9" w14:textId="77777777" w:rsidR="00383FA2" w:rsidRDefault="0000000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Плотность (кг/м</w:t>
            </w:r>
            <w:r>
              <w:rPr>
                <w:rFonts w:ascii="Times New Roman" w:eastAsia="Times New Roman" w:hAnsi="Times New Roman" w:cs="Times New Roman"/>
                <w:vertAlign w:val="superscript"/>
              </w:rPr>
              <w:t>3</w:t>
            </w:r>
            <w:r>
              <w:rPr>
                <w:rFonts w:ascii="Times New Roman" w:eastAsia="Times New Roman" w:hAnsi="Times New Roman" w:cs="Times New Roman"/>
              </w:rPr>
              <w:t>)</w:t>
            </w:r>
          </w:p>
        </w:tc>
        <w:tc>
          <w:tcPr>
            <w:tcW w:w="1827" w:type="dxa"/>
          </w:tcPr>
          <w:p w14:paraId="0FAC6490" w14:textId="77777777" w:rsidR="00383FA2" w:rsidRDefault="0000000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Коэффициент Пуассона</w:t>
            </w:r>
          </w:p>
        </w:tc>
        <w:tc>
          <w:tcPr>
            <w:tcW w:w="1827" w:type="dxa"/>
          </w:tcPr>
          <w:p w14:paraId="639AB470" w14:textId="77777777" w:rsidR="00383FA2" w:rsidRDefault="0000000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Модуль упругости (ГПа)</w:t>
            </w:r>
          </w:p>
        </w:tc>
        <w:tc>
          <w:tcPr>
            <w:tcW w:w="1827" w:type="dxa"/>
          </w:tcPr>
          <w:p w14:paraId="41091B82" w14:textId="77777777" w:rsidR="00383FA2" w:rsidRDefault="0000000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Предел прочности</w:t>
            </w:r>
            <w:r>
              <w:rPr>
                <w:rFonts w:ascii="Times New Roman" w:eastAsia="Times New Roman" w:hAnsi="Times New Roman" w:cs="Times New Roman"/>
              </w:rPr>
              <w:t xml:space="preserve"> (МПа)</w:t>
            </w:r>
          </w:p>
        </w:tc>
        <w:tc>
          <w:tcPr>
            <w:tcW w:w="1827" w:type="dxa"/>
          </w:tcPr>
          <w:p w14:paraId="15711682" w14:textId="77777777" w:rsidR="00383F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Предел текучести</w:t>
            </w:r>
          </w:p>
          <w:p w14:paraId="2E792942" w14:textId="77777777" w:rsidR="00383FA2" w:rsidRDefault="0000000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(МПа)</w:t>
            </w:r>
          </w:p>
        </w:tc>
      </w:tr>
      <w:tr w:rsidR="00383FA2" w14:paraId="467F08F3" w14:textId="77777777">
        <w:trPr>
          <w:trHeight w:val="345"/>
        </w:trPr>
        <w:tc>
          <w:tcPr>
            <w:tcW w:w="1827" w:type="dxa"/>
          </w:tcPr>
          <w:p w14:paraId="569E833B" w14:textId="77777777" w:rsidR="00383FA2" w:rsidRDefault="0000000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7840</w:t>
            </w:r>
          </w:p>
        </w:tc>
        <w:tc>
          <w:tcPr>
            <w:tcW w:w="1827" w:type="dxa"/>
          </w:tcPr>
          <w:p w14:paraId="1A1D51DE" w14:textId="77777777" w:rsidR="00383FA2" w:rsidRDefault="0000000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0,3</w:t>
            </w:r>
          </w:p>
        </w:tc>
        <w:tc>
          <w:tcPr>
            <w:tcW w:w="1827" w:type="dxa"/>
          </w:tcPr>
          <w:p w14:paraId="71DA668C" w14:textId="77777777" w:rsidR="00383FA2" w:rsidRDefault="0000000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207</w:t>
            </w:r>
          </w:p>
        </w:tc>
        <w:tc>
          <w:tcPr>
            <w:tcW w:w="1827" w:type="dxa"/>
          </w:tcPr>
          <w:p w14:paraId="629CEBD6" w14:textId="77777777" w:rsidR="00383FA2" w:rsidRDefault="0000000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460</w:t>
            </w:r>
          </w:p>
        </w:tc>
        <w:tc>
          <w:tcPr>
            <w:tcW w:w="1827" w:type="dxa"/>
          </w:tcPr>
          <w:p w14:paraId="39106EFF" w14:textId="77777777" w:rsidR="00383FA2" w:rsidRDefault="0000000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250</w:t>
            </w:r>
          </w:p>
        </w:tc>
      </w:tr>
    </w:tbl>
    <w:p w14:paraId="128723BA" w14:textId="77777777" w:rsidR="00383FA2" w:rsidRDefault="00383FA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5725B0E" w14:textId="77777777" w:rsidR="00383FA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Методы исследования</w:t>
      </w:r>
    </w:p>
    <w:p w14:paraId="6F1C02AC" w14:textId="25785AB4" w:rsidR="00383FA2" w:rsidRDefault="00B744CA" w:rsidP="00B744C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0" w:name="_heading=h.u542evsvwuqu" w:colFirst="0" w:colLast="0"/>
      <w:bookmarkEnd w:id="0"/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В качестве метода исследования выбран</w:t>
      </w:r>
      <w:r w:rsidR="002D567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упомянутый ранее </w:t>
      </w:r>
      <w:r w:rsidRPr="00B744CA">
        <w:rPr>
          <w:rFonts w:ascii="Times New Roman" w:eastAsia="Times New Roman" w:hAnsi="Times New Roman" w:cs="Times New Roman"/>
          <w:sz w:val="24"/>
          <w:szCs w:val="24"/>
        </w:rPr>
        <w:t>численный метод</w:t>
      </w:r>
      <w:r w:rsidR="002D567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называемый методом конечных элементов, с использованием имитационной компьютерной модели. </w:t>
      </w:r>
      <w:r w:rsidR="00000000">
        <w:rPr>
          <w:rFonts w:ascii="Times New Roman" w:eastAsia="Times New Roman" w:hAnsi="Times New Roman" w:cs="Times New Roman"/>
          <w:sz w:val="24"/>
          <w:szCs w:val="24"/>
        </w:rPr>
        <w:t xml:space="preserve">В </w:t>
      </w:r>
      <w:r w:rsidR="002D567E">
        <w:rPr>
          <w:rFonts w:ascii="Times New Roman" w:eastAsia="Times New Roman" w:hAnsi="Times New Roman" w:cs="Times New Roman"/>
          <w:sz w:val="24"/>
          <w:szCs w:val="24"/>
          <w:lang w:val="ru-RU"/>
        </w:rPr>
        <w:t>данном случае</w:t>
      </w:r>
      <w:r w:rsidR="00000000">
        <w:rPr>
          <w:rFonts w:ascii="Times New Roman" w:eastAsia="Times New Roman" w:hAnsi="Times New Roman" w:cs="Times New Roman"/>
          <w:sz w:val="24"/>
          <w:szCs w:val="24"/>
        </w:rPr>
        <w:t xml:space="preserve"> для шатуна, подвергаемого статическому анализу, </w:t>
      </w:r>
      <w:proofErr w:type="spellStart"/>
      <w:r w:rsidR="002D567E">
        <w:rPr>
          <w:rFonts w:ascii="Times New Roman" w:eastAsia="Times New Roman" w:hAnsi="Times New Roman" w:cs="Times New Roman"/>
          <w:sz w:val="24"/>
          <w:szCs w:val="24"/>
          <w:lang w:val="ru-RU"/>
        </w:rPr>
        <w:t>назначе</w:t>
      </w:r>
      <w:r w:rsidR="00000000">
        <w:rPr>
          <w:rFonts w:ascii="Times New Roman" w:eastAsia="Times New Roman" w:hAnsi="Times New Roman" w:cs="Times New Roman"/>
          <w:sz w:val="24"/>
          <w:szCs w:val="24"/>
        </w:rPr>
        <w:t>ны</w:t>
      </w:r>
      <w:proofErr w:type="spellEnd"/>
      <w:r w:rsidR="00000000">
        <w:rPr>
          <w:rFonts w:ascii="Times New Roman" w:eastAsia="Times New Roman" w:hAnsi="Times New Roman" w:cs="Times New Roman"/>
          <w:sz w:val="24"/>
          <w:szCs w:val="24"/>
        </w:rPr>
        <w:t xml:space="preserve"> тип и размер сетки, </w:t>
      </w:r>
      <w:r w:rsidR="002D567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указаны </w:t>
      </w:r>
      <w:r w:rsidR="00000000">
        <w:rPr>
          <w:rFonts w:ascii="Times New Roman" w:eastAsia="Times New Roman" w:hAnsi="Times New Roman" w:cs="Times New Roman"/>
          <w:sz w:val="24"/>
          <w:szCs w:val="24"/>
        </w:rPr>
        <w:t>направление приложенной силы, точка крепления и значения, которые необходимо определить. В таблице 2 приведены подробные сведения о сетке.</w:t>
      </w:r>
    </w:p>
    <w:p w14:paraId="209F717A" w14:textId="77777777" w:rsidR="00383FA2" w:rsidRDefault="00383FA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1" w:name="_heading=h.2w1gru5pvla1" w:colFirst="0" w:colLast="0"/>
      <w:bookmarkEnd w:id="1"/>
    </w:p>
    <w:p w14:paraId="1FD12BDD" w14:textId="77777777" w:rsidR="00383FA2" w:rsidRDefault="00000000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Таблица 2. Детализация сетки</w:t>
      </w:r>
    </w:p>
    <w:tbl>
      <w:tblPr>
        <w:tblStyle w:val="a9"/>
        <w:tblW w:w="8952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71"/>
        <w:gridCol w:w="2924"/>
        <w:gridCol w:w="2957"/>
      </w:tblGrid>
      <w:tr w:rsidR="00383FA2" w14:paraId="721049EF" w14:textId="77777777">
        <w:tc>
          <w:tcPr>
            <w:tcW w:w="3071" w:type="dxa"/>
          </w:tcPr>
          <w:p w14:paraId="368C8F42" w14:textId="77777777" w:rsidR="00383FA2" w:rsidRDefault="0000000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Тип сетки</w:t>
            </w:r>
          </w:p>
        </w:tc>
        <w:tc>
          <w:tcPr>
            <w:tcW w:w="2924" w:type="dxa"/>
          </w:tcPr>
          <w:p w14:paraId="4960A5E0" w14:textId="77777777" w:rsidR="00383FA2" w:rsidRDefault="0000000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Размер элемента</w:t>
            </w:r>
          </w:p>
        </w:tc>
        <w:tc>
          <w:tcPr>
            <w:tcW w:w="2957" w:type="dxa"/>
          </w:tcPr>
          <w:p w14:paraId="1BC8667B" w14:textId="77777777" w:rsidR="00383FA2" w:rsidRDefault="0000000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Средняя площадь поверхности</w:t>
            </w:r>
          </w:p>
        </w:tc>
      </w:tr>
      <w:tr w:rsidR="00383FA2" w14:paraId="793D39C1" w14:textId="77777777">
        <w:tc>
          <w:tcPr>
            <w:tcW w:w="3071" w:type="dxa"/>
          </w:tcPr>
          <w:p w14:paraId="75F13A13" w14:textId="77777777" w:rsidR="00383FA2" w:rsidRDefault="0000000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Тетраэдр</w:t>
            </w:r>
          </w:p>
        </w:tc>
        <w:tc>
          <w:tcPr>
            <w:tcW w:w="2924" w:type="dxa"/>
          </w:tcPr>
          <w:p w14:paraId="424DEC9A" w14:textId="77777777" w:rsidR="00383FA2" w:rsidRDefault="0000000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 мм</w:t>
            </w:r>
          </w:p>
        </w:tc>
        <w:tc>
          <w:tcPr>
            <w:tcW w:w="2957" w:type="dxa"/>
          </w:tcPr>
          <w:p w14:paraId="427AB9F8" w14:textId="77777777" w:rsidR="00383FA2" w:rsidRDefault="0000000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259,36 мм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</w:tr>
    </w:tbl>
    <w:p w14:paraId="3CDD9913" w14:textId="77777777" w:rsidR="00383FA2" w:rsidRDefault="00383FA2">
      <w:pPr>
        <w:spacing w:after="0" w:line="276" w:lineRule="auto"/>
        <w:rPr>
          <w:b/>
          <w:bCs/>
        </w:rPr>
      </w:pPr>
    </w:p>
    <w:p w14:paraId="1C464067" w14:textId="77777777" w:rsidR="00383FA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2" w:name="_heading=h.pg3vaxnlrrfp" w:colFirst="0" w:colLast="0"/>
      <w:bookmarkEnd w:id="2"/>
      <w:r>
        <w:rPr>
          <w:rFonts w:ascii="Times New Roman" w:eastAsia="Times New Roman" w:hAnsi="Times New Roman" w:cs="Times New Roman"/>
          <w:sz w:val="24"/>
          <w:szCs w:val="24"/>
        </w:rPr>
        <w:t>К внутренней поверхности шатуна, где расположен поршневой палец, прикладывались силы величиной 25 кН, 50 кН и 75 кН соответственно. Неподвижной поверхностью считается внешняя поверхность области крепления поршневого пальца к шатуну. Далее был проведен анализ для определения значений общей деформации, упругого напряжения и распределения напряжений.</w:t>
      </w:r>
    </w:p>
    <w:p w14:paraId="4E21625E" w14:textId="77777777" w:rsidR="00383FA2" w:rsidRDefault="00383FA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3" w:name="_heading=h.wlowmnugls1k" w:colFirst="0" w:colLast="0"/>
      <w:bookmarkEnd w:id="3"/>
    </w:p>
    <w:p w14:paraId="71C79DC4" w14:textId="77777777" w:rsidR="00383FA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Результаты исследования (Выводы)</w:t>
      </w:r>
    </w:p>
    <w:p w14:paraId="19BFE0CE" w14:textId="641AE3EE" w:rsidR="00383FA2" w:rsidRDefault="00B744C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В результате проведённых исследований получены р</w:t>
      </w:r>
      <w:proofErr w:type="spellStart"/>
      <w:r w:rsidR="00000000">
        <w:rPr>
          <w:rFonts w:ascii="Times New Roman" w:eastAsia="Times New Roman" w:hAnsi="Times New Roman" w:cs="Times New Roman"/>
          <w:sz w:val="24"/>
          <w:szCs w:val="24"/>
        </w:rPr>
        <w:t>асчетные</w:t>
      </w:r>
      <w:proofErr w:type="spellEnd"/>
      <w:r w:rsidR="00000000">
        <w:rPr>
          <w:rFonts w:ascii="Times New Roman" w:eastAsia="Times New Roman" w:hAnsi="Times New Roman" w:cs="Times New Roman"/>
          <w:sz w:val="24"/>
          <w:szCs w:val="24"/>
        </w:rPr>
        <w:t xml:space="preserve"> значения для различных сил, приложенных к шатуну, включая максимальную суммарную деформацию, максимальное упругое напряжение и максимальное распределение напряжений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. Они</w:t>
      </w:r>
      <w:r w:rsidR="00000000">
        <w:rPr>
          <w:rFonts w:ascii="Times New Roman" w:eastAsia="Times New Roman" w:hAnsi="Times New Roman" w:cs="Times New Roman"/>
          <w:sz w:val="24"/>
          <w:szCs w:val="24"/>
        </w:rPr>
        <w:t xml:space="preserve"> приведены в таблице 3.</w:t>
      </w:r>
    </w:p>
    <w:p w14:paraId="71200AD0" w14:textId="77777777" w:rsidR="00383FA2" w:rsidRDefault="00383FA2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54BAE71" w14:textId="77777777" w:rsidR="00383FA2" w:rsidRDefault="00000000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Таблица 3. Наибольшие значения суммарной деформации, максимального упругого напряжения и максимального распределения напряжений для различных значений приложенной силы.</w:t>
      </w:r>
    </w:p>
    <w:sdt>
      <w:sdtPr>
        <w:tag w:val="goog_rdk_0"/>
        <w:id w:val="1486474031"/>
        <w:lock w:val="contentLocked"/>
      </w:sdtPr>
      <w:sdtContent>
        <w:tbl>
          <w:tblPr>
            <w:tblStyle w:val="aa"/>
            <w:tblW w:w="8535" w:type="dxa"/>
            <w:tblInd w:w="534" w:type="dxa"/>
            <w:tbl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blBorders>
            <w:tblLayout w:type="fixed"/>
            <w:tblLook w:val="0400" w:firstRow="0" w:lastRow="0" w:firstColumn="0" w:lastColumn="0" w:noHBand="0" w:noVBand="1"/>
          </w:tblPr>
          <w:tblGrid>
            <w:gridCol w:w="1635"/>
            <w:gridCol w:w="2055"/>
            <w:gridCol w:w="2235"/>
            <w:gridCol w:w="2610"/>
          </w:tblGrid>
          <w:tr w:rsidR="00383FA2" w14:paraId="0017B608" w14:textId="77777777">
            <w:tc>
              <w:tcPr>
                <w:tcW w:w="1635" w:type="dxa"/>
              </w:tcPr>
              <w:p w14:paraId="73702001" w14:textId="77777777" w:rsidR="00383FA2" w:rsidRDefault="00000000">
                <w:pPr>
                  <w:spacing w:after="0" w:line="276" w:lineRule="auto"/>
                  <w:jc w:val="center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Приложенная сила (кН)</w:t>
                </w:r>
              </w:p>
            </w:tc>
            <w:tc>
              <w:tcPr>
                <w:tcW w:w="2055" w:type="dxa"/>
              </w:tcPr>
              <w:p w14:paraId="2F88C96A" w14:textId="77777777" w:rsidR="00383FA2" w:rsidRDefault="00000000">
                <w:pPr>
                  <w:spacing w:after="0" w:line="276" w:lineRule="auto"/>
                  <w:jc w:val="center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En yüksek toplam deformasyon miktarı (мм)</w:t>
                </w:r>
              </w:p>
            </w:tc>
            <w:tc>
              <w:tcPr>
                <w:tcW w:w="2235" w:type="dxa"/>
              </w:tcPr>
              <w:p w14:paraId="2DA3B582" w14:textId="77777777" w:rsidR="00383FA2" w:rsidRDefault="00000000">
                <w:pPr>
                  <w:spacing w:after="0" w:line="276" w:lineRule="auto"/>
                  <w:jc w:val="center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Наибольшее упругое натяжение (мм)</w:t>
                </w:r>
              </w:p>
            </w:tc>
            <w:tc>
              <w:tcPr>
                <w:tcW w:w="2610" w:type="dxa"/>
              </w:tcPr>
              <w:p w14:paraId="7C77196F" w14:textId="77777777" w:rsidR="00383FA2" w:rsidRDefault="00000000">
                <w:pPr>
                  <w:spacing w:after="0" w:line="276" w:lineRule="auto"/>
                  <w:jc w:val="center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Наибольшее распределение напряжений (МПа)</w:t>
                </w:r>
              </w:p>
            </w:tc>
          </w:tr>
          <w:tr w:rsidR="00383FA2" w14:paraId="278CE654" w14:textId="77777777">
            <w:tc>
              <w:tcPr>
                <w:tcW w:w="1635" w:type="dxa"/>
              </w:tcPr>
              <w:p w14:paraId="28AF0A61" w14:textId="77777777" w:rsidR="00383FA2" w:rsidRDefault="00000000">
                <w:pPr>
                  <w:spacing w:after="0" w:line="276" w:lineRule="auto"/>
                  <w:jc w:val="center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25</w:t>
                </w:r>
              </w:p>
            </w:tc>
            <w:tc>
              <w:tcPr>
                <w:tcW w:w="2055" w:type="dxa"/>
              </w:tcPr>
              <w:p w14:paraId="5E2DEAED" w14:textId="77777777" w:rsidR="00383FA2" w:rsidRDefault="00000000">
                <w:pPr>
                  <w:spacing w:after="0" w:line="276" w:lineRule="auto"/>
                  <w:jc w:val="center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0,0021</w:t>
                </w:r>
              </w:p>
            </w:tc>
            <w:tc>
              <w:tcPr>
                <w:tcW w:w="2235" w:type="dxa"/>
              </w:tcPr>
              <w:p w14:paraId="229A7CB6" w14:textId="77777777" w:rsidR="00383FA2" w:rsidRDefault="00000000">
                <w:pPr>
                  <w:spacing w:after="0" w:line="276" w:lineRule="auto"/>
                  <w:jc w:val="center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0,0002</w:t>
                </w:r>
              </w:p>
            </w:tc>
            <w:tc>
              <w:tcPr>
                <w:tcW w:w="2610" w:type="dxa"/>
              </w:tcPr>
              <w:p w14:paraId="1BAF1A33" w14:textId="77777777" w:rsidR="00383FA2" w:rsidRDefault="00000000">
                <w:pPr>
                  <w:spacing w:after="0" w:line="276" w:lineRule="auto"/>
                  <w:jc w:val="center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38,95</w:t>
                </w:r>
              </w:p>
            </w:tc>
          </w:tr>
          <w:tr w:rsidR="00383FA2" w14:paraId="53B87E91" w14:textId="77777777">
            <w:tc>
              <w:tcPr>
                <w:tcW w:w="1635" w:type="dxa"/>
              </w:tcPr>
              <w:p w14:paraId="636CE926" w14:textId="77777777" w:rsidR="00383FA2" w:rsidRDefault="00000000">
                <w:pPr>
                  <w:spacing w:after="0" w:line="276" w:lineRule="auto"/>
                  <w:jc w:val="center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50</w:t>
                </w:r>
              </w:p>
            </w:tc>
            <w:tc>
              <w:tcPr>
                <w:tcW w:w="2055" w:type="dxa"/>
              </w:tcPr>
              <w:p w14:paraId="64393F54" w14:textId="77777777" w:rsidR="00383FA2" w:rsidRDefault="00000000">
                <w:pPr>
                  <w:spacing w:after="0" w:line="276" w:lineRule="auto"/>
                  <w:jc w:val="center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0,0044</w:t>
                </w:r>
              </w:p>
            </w:tc>
            <w:tc>
              <w:tcPr>
                <w:tcW w:w="2235" w:type="dxa"/>
              </w:tcPr>
              <w:p w14:paraId="033F6245" w14:textId="77777777" w:rsidR="00383FA2" w:rsidRDefault="00000000">
                <w:pPr>
                  <w:spacing w:after="0" w:line="276" w:lineRule="auto"/>
                  <w:jc w:val="center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0,0004</w:t>
                </w:r>
              </w:p>
            </w:tc>
            <w:tc>
              <w:tcPr>
                <w:tcW w:w="2610" w:type="dxa"/>
              </w:tcPr>
              <w:p w14:paraId="31A9A1FF" w14:textId="77777777" w:rsidR="00383FA2" w:rsidRDefault="00000000">
                <w:pPr>
                  <w:spacing w:after="0" w:line="276" w:lineRule="auto"/>
                  <w:jc w:val="center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77,90</w:t>
                </w:r>
              </w:p>
            </w:tc>
          </w:tr>
          <w:tr w:rsidR="00383FA2" w14:paraId="356CCADA" w14:textId="77777777">
            <w:tc>
              <w:tcPr>
                <w:tcW w:w="1635" w:type="dxa"/>
              </w:tcPr>
              <w:p w14:paraId="67DC63BB" w14:textId="77777777" w:rsidR="00383FA2" w:rsidRDefault="00000000">
                <w:pPr>
                  <w:spacing w:after="0" w:line="276" w:lineRule="auto"/>
                  <w:jc w:val="center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75</w:t>
                </w:r>
              </w:p>
            </w:tc>
            <w:tc>
              <w:tcPr>
                <w:tcW w:w="2055" w:type="dxa"/>
              </w:tcPr>
              <w:p w14:paraId="0CEADBB9" w14:textId="77777777" w:rsidR="00383FA2" w:rsidRDefault="00000000">
                <w:pPr>
                  <w:spacing w:after="0" w:line="276" w:lineRule="auto"/>
                  <w:jc w:val="center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0,0065</w:t>
                </w:r>
              </w:p>
            </w:tc>
            <w:tc>
              <w:tcPr>
                <w:tcW w:w="2235" w:type="dxa"/>
              </w:tcPr>
              <w:p w14:paraId="28FBF311" w14:textId="77777777" w:rsidR="00383FA2" w:rsidRDefault="00000000">
                <w:pPr>
                  <w:spacing w:after="0" w:line="276" w:lineRule="auto"/>
                  <w:jc w:val="center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0,0006</w:t>
                </w:r>
              </w:p>
            </w:tc>
            <w:tc>
              <w:tcPr>
                <w:tcW w:w="2610" w:type="dxa"/>
              </w:tcPr>
              <w:p w14:paraId="64A8A91E" w14:textId="77777777" w:rsidR="00383FA2" w:rsidRDefault="00000000">
                <w:pPr>
                  <w:spacing w:after="0" w:line="276" w:lineRule="auto"/>
                  <w:jc w:val="center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116,85</w:t>
                </w:r>
              </w:p>
            </w:tc>
          </w:tr>
        </w:tbl>
      </w:sdtContent>
    </w:sdt>
    <w:p w14:paraId="29AED6B4" w14:textId="77777777" w:rsidR="00383FA2" w:rsidRDefault="00383FA2">
      <w:pPr>
        <w:spacing w:after="0" w:line="276" w:lineRule="auto"/>
        <w:ind w:left="708"/>
        <w:jc w:val="both"/>
        <w:rPr>
          <w:rFonts w:ascii="Times New Roman" w:eastAsia="Times New Roman" w:hAnsi="Times New Roman" w:cs="Times New Roman"/>
          <w:b/>
          <w:bCs/>
        </w:rPr>
      </w:pPr>
    </w:p>
    <w:p w14:paraId="336F7223" w14:textId="77777777" w:rsidR="00383FA2" w:rsidRDefault="00000000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Расчеты с использованием метода конечных элементов для приложенных сил 25 кН, 50 кН и 75 кН показали наибольшие значения суммарной деформации, максимального упругого напряжения и максимального распределения напряжений. Было установлено, что эти значения увеличиваются с увеличением приложенной силы. Полученные в данном исследовании значения иллюстрируют поведение шатуна, изготовленного из нержавеющей стали 12X2H4A, и его воздействие на него различных сил.</w:t>
      </w:r>
    </w:p>
    <w:p w14:paraId="557A6BC6" w14:textId="77777777" w:rsidR="00383FA2" w:rsidRDefault="00383FA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</w:p>
    <w:p w14:paraId="54857A92" w14:textId="77777777" w:rsidR="00383FA2" w:rsidRDefault="00000000">
      <w:pPr>
        <w:spacing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Литература</w:t>
      </w:r>
    </w:p>
    <w:p w14:paraId="1FBC259B" w14:textId="77777777" w:rsidR="00383FA2" w:rsidRPr="00B744CA" w:rsidRDefault="00000000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B744C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Zhou, Q., Wang, Y., Ji, W. (2010), The finite element analysis of connecting rod of diesel engine, </w:t>
      </w:r>
      <w:r w:rsidRPr="00B744CA">
        <w:rPr>
          <w:rFonts w:ascii="Times New Roman" w:eastAsia="Times New Roman" w:hAnsi="Times New Roman" w:cs="Times New Roman"/>
          <w:sz w:val="24"/>
          <w:szCs w:val="24"/>
          <w:highlight w:val="white"/>
          <w:lang w:val="en-US"/>
        </w:rPr>
        <w:t>International Conference on Measuring Technology and Mechatronics Automation, pp. 870-873.</w:t>
      </w:r>
    </w:p>
    <w:p w14:paraId="0FFB7ABC" w14:textId="77777777" w:rsidR="00383FA2" w:rsidRPr="00B744CA" w:rsidRDefault="00000000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  <w:lang w:val="en-US"/>
        </w:rPr>
      </w:pPr>
      <w:r w:rsidRPr="00B744CA">
        <w:rPr>
          <w:rFonts w:ascii="Times New Roman" w:eastAsia="Times New Roman" w:hAnsi="Times New Roman" w:cs="Times New Roman"/>
          <w:sz w:val="24"/>
          <w:szCs w:val="24"/>
          <w:lang w:val="en-US"/>
        </w:rPr>
        <w:t>Zhang, X., Wang, Y., Fang, J. (2012), Dynamic simulation of crank-connecting rod-piston mechanism of internal combustion engine based on virtual prototype technology, Applied Mechanics and Materials, 143-144, pp. 433-436.</w:t>
      </w:r>
    </w:p>
    <w:sectPr w:rsidR="00383FA2" w:rsidRPr="00B744CA">
      <w:pgSz w:w="11906" w:h="16838"/>
      <w:pgMar w:top="993" w:right="850" w:bottom="1134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0793C747-26F7-4872-94FC-8A9E2C580448}"/>
    <w:embedBold r:id="rId2" w:fontKey="{2C792D02-16B3-4F0D-BF50-3450AE194647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D36EFE28-15A7-484F-9D8C-5A0F4EA99C0E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4" w:fontKey="{F8B06D05-C549-45C6-A7F3-5CA2FEF930DB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6C15585"/>
    <w:multiLevelType w:val="multilevel"/>
    <w:tmpl w:val="71F8CDB4"/>
    <w:lvl w:ilvl="0">
      <w:start w:val="1"/>
      <w:numFmt w:val="decimal"/>
      <w:lvlText w:val="%1."/>
      <w:lvlJc w:val="left"/>
      <w:pPr>
        <w:ind w:left="927" w:hanging="360"/>
      </w:pPr>
    </w:lvl>
    <w:lvl w:ilvl="1">
      <w:start w:val="1"/>
      <w:numFmt w:val="lowerLetter"/>
      <w:lvlText w:val="%2."/>
      <w:lvlJc w:val="left"/>
      <w:pPr>
        <w:ind w:left="1647" w:hanging="360"/>
      </w:p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num w:numId="1" w16cid:durableId="200613254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3FA2"/>
    <w:rsid w:val="00073D96"/>
    <w:rsid w:val="002D567E"/>
    <w:rsid w:val="00383FA2"/>
    <w:rsid w:val="00B744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A95C6F"/>
  <w15:docId w15:val="{64342572-0810-4ED5-9E77-0810889B8F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character" w:styleId="a4">
    <w:name w:val="Hyperlink"/>
    <w:basedOn w:val="a0"/>
    <w:uiPriority w:val="99"/>
    <w:unhideWhenUsed/>
    <w:rsid w:val="00CD0DC0"/>
    <w:rPr>
      <w:color w:val="0563C1" w:themeColor="hyperlink"/>
      <w:u w:val="single"/>
    </w:rPr>
  </w:style>
  <w:style w:type="character" w:customStyle="1" w:styleId="10">
    <w:name w:val="Неразрешенное упоминание1"/>
    <w:basedOn w:val="a0"/>
    <w:uiPriority w:val="99"/>
    <w:semiHidden/>
    <w:unhideWhenUsed/>
    <w:rsid w:val="00CD0DC0"/>
    <w:rPr>
      <w:color w:val="605E5C"/>
      <w:shd w:val="clear" w:color="auto" w:fill="E1DFDD"/>
    </w:rPr>
  </w:style>
  <w:style w:type="paragraph" w:styleId="a5">
    <w:name w:val="List Paragraph"/>
    <w:uiPriority w:val="34"/>
    <w:qFormat/>
    <w:rsid w:val="0073722A"/>
    <w:pPr>
      <w:ind w:left="720"/>
      <w:contextualSpacing/>
    </w:pPr>
  </w:style>
  <w:style w:type="paragraph" w:styleId="HTML">
    <w:name w:val="HTML Preformatted"/>
    <w:link w:val="HTML0"/>
    <w:uiPriority w:val="99"/>
    <w:semiHidden/>
    <w:unhideWhenUsed/>
    <w:rsid w:val="0035238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352389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y2iqfc">
    <w:name w:val="y2iqfc"/>
    <w:basedOn w:val="a0"/>
    <w:rsid w:val="00352389"/>
  </w:style>
  <w:style w:type="paragraph" w:styleId="a6">
    <w:name w:val="No Spacing"/>
    <w:uiPriority w:val="1"/>
    <w:qFormat/>
    <w:rsid w:val="00352389"/>
    <w:pPr>
      <w:spacing w:after="0" w:line="240" w:lineRule="auto"/>
    </w:pPr>
  </w:style>
  <w:style w:type="paragraph" w:styleId="a7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character" w:styleId="ab">
    <w:name w:val="Unresolved Mention"/>
    <w:basedOn w:val="a0"/>
    <w:uiPriority w:val="99"/>
    <w:semiHidden/>
    <w:unhideWhenUsed/>
    <w:rsid w:val="00B744C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/SgFkLUborSEbsvg0UUvKMnexow==">CgMxLjAaHgoBMBIZChcICVITChF0YWJsZS4xcmxlMXNrN3RjODIOaC51NTQyZXZzdnd1cXUyDmguMncxZ3J1NXB2bGExMg5oLnBnM3ZheG5scnJmcDIOaC53bG93bW51Z2xzMWs4AHIhMWo2YlVSZ3VZZ2RoMDVkb0xDQllTMXdhN3lfLXMtNE9r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784</Words>
  <Characters>4473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Вероника Бажанова</dc:creator>
  <cp:lastModifiedBy>Alexey Cheremisin</cp:lastModifiedBy>
  <cp:revision>2</cp:revision>
  <dcterms:created xsi:type="dcterms:W3CDTF">2026-03-07T08:49:00Z</dcterms:created>
  <dcterms:modified xsi:type="dcterms:W3CDTF">2026-03-07T20:14:00Z</dcterms:modified>
</cp:coreProperties>
</file>