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FEFEE" w14:textId="4D3CBC3E" w:rsidR="000B3C2A" w:rsidRPr="00323265" w:rsidRDefault="000B3C2A" w:rsidP="000B3C2A">
      <w:pPr>
        <w:jc w:val="center"/>
        <w:rPr>
          <w:b/>
          <w:bCs/>
        </w:rPr>
      </w:pPr>
      <w:r w:rsidRPr="00323265">
        <w:rPr>
          <w:b/>
          <w:bCs/>
        </w:rPr>
        <w:t xml:space="preserve"> </w:t>
      </w:r>
      <w:r w:rsidR="004C153A">
        <w:rPr>
          <w:b/>
          <w:bCs/>
        </w:rPr>
        <w:t xml:space="preserve">Калибровка </w:t>
      </w:r>
      <w:r w:rsidR="00124FBE">
        <w:rPr>
          <w:b/>
          <w:bCs/>
        </w:rPr>
        <w:t xml:space="preserve">стохастических </w:t>
      </w:r>
      <w:r w:rsidR="00E06390">
        <w:rPr>
          <w:b/>
          <w:bCs/>
        </w:rPr>
        <w:t xml:space="preserve">параметров на основе канонической информации для </w:t>
      </w:r>
      <w:r w:rsidR="007807FD">
        <w:rPr>
          <w:b/>
          <w:bCs/>
        </w:rPr>
        <w:t>задач предиктивного управления</w:t>
      </w:r>
    </w:p>
    <w:p w14:paraId="4BA4678F" w14:textId="7B5A96E4" w:rsidR="000B3C2A" w:rsidRPr="00323265" w:rsidRDefault="000B3C2A" w:rsidP="000B3C2A">
      <w:pPr>
        <w:ind w:firstLine="397"/>
        <w:jc w:val="center"/>
        <w:rPr>
          <w:b/>
          <w:bCs/>
          <w:i/>
          <w:iCs/>
        </w:rPr>
      </w:pPr>
      <w:r w:rsidRPr="00323265">
        <w:rPr>
          <w:b/>
          <w:bCs/>
          <w:i/>
          <w:iCs/>
        </w:rPr>
        <w:t>Чураков Егор Максимович</w:t>
      </w:r>
    </w:p>
    <w:p w14:paraId="7D25BA94" w14:textId="7F1CE9FE" w:rsidR="000B3C2A" w:rsidRPr="00323265" w:rsidRDefault="000B3C2A" w:rsidP="000B3C2A">
      <w:pPr>
        <w:jc w:val="center"/>
        <w:rPr>
          <w:i/>
          <w:iCs/>
        </w:rPr>
      </w:pPr>
      <w:r w:rsidRPr="00323265">
        <w:rPr>
          <w:i/>
          <w:iCs/>
        </w:rPr>
        <w:t>Аспирант</w:t>
      </w:r>
    </w:p>
    <w:p w14:paraId="2B73B39B" w14:textId="77777777" w:rsidR="000B3C2A" w:rsidRPr="00323265" w:rsidRDefault="000B3C2A" w:rsidP="000B3C2A">
      <w:pPr>
        <w:jc w:val="center"/>
        <w:rPr>
          <w:i/>
          <w:iCs/>
        </w:rPr>
      </w:pPr>
      <w:r w:rsidRPr="00323265">
        <w:rPr>
          <w:i/>
          <w:iCs/>
        </w:rPr>
        <w:t>Московский государственный университет имени М.В.Ломоносова,</w:t>
      </w:r>
    </w:p>
    <w:p w14:paraId="10BE1442" w14:textId="77777777" w:rsidR="000B3C2A" w:rsidRPr="00323265" w:rsidRDefault="000B3C2A" w:rsidP="000B3C2A">
      <w:pPr>
        <w:jc w:val="center"/>
        <w:rPr>
          <w:i/>
          <w:iCs/>
        </w:rPr>
      </w:pPr>
      <w:r w:rsidRPr="00323265">
        <w:rPr>
          <w:i/>
          <w:iCs/>
        </w:rPr>
        <w:t>физический факультет, Москва, Россия</w:t>
      </w:r>
    </w:p>
    <w:p w14:paraId="671BDE5F" w14:textId="66F09156" w:rsidR="000B3C2A" w:rsidRPr="00AD528F" w:rsidRDefault="000B3C2A" w:rsidP="000B3C2A">
      <w:pPr>
        <w:jc w:val="center"/>
        <w:rPr>
          <w:i/>
          <w:iCs/>
        </w:rPr>
      </w:pPr>
      <w:r w:rsidRPr="00323265">
        <w:rPr>
          <w:i/>
          <w:iCs/>
          <w:lang w:val="en-US"/>
        </w:rPr>
        <w:t>E</w:t>
      </w:r>
      <w:r w:rsidRPr="00AD528F">
        <w:rPr>
          <w:i/>
          <w:iCs/>
        </w:rPr>
        <w:t>–</w:t>
      </w:r>
      <w:r w:rsidRPr="00323265">
        <w:rPr>
          <w:i/>
          <w:iCs/>
          <w:lang w:val="en-US"/>
        </w:rPr>
        <w:t>mail</w:t>
      </w:r>
      <w:r w:rsidRPr="00AD528F">
        <w:rPr>
          <w:i/>
          <w:iCs/>
        </w:rPr>
        <w:t xml:space="preserve">: </w:t>
      </w:r>
      <w:hyperlink r:id="rId6" w:history="1">
        <w:r w:rsidR="00323265" w:rsidRPr="00323265">
          <w:rPr>
            <w:rStyle w:val="ad"/>
            <w:i/>
            <w:iCs/>
            <w:lang w:val="en-US"/>
          </w:rPr>
          <w:t>churakovem</w:t>
        </w:r>
        <w:r w:rsidR="00323265" w:rsidRPr="00AD528F">
          <w:rPr>
            <w:rStyle w:val="ad"/>
            <w:i/>
            <w:iCs/>
          </w:rPr>
          <w:t>@</w:t>
        </w:r>
        <w:r w:rsidR="00323265" w:rsidRPr="00323265">
          <w:rPr>
            <w:rStyle w:val="ad"/>
            <w:i/>
            <w:iCs/>
            <w:lang w:val="en-US"/>
          </w:rPr>
          <w:t>my</w:t>
        </w:r>
        <w:r w:rsidR="00323265" w:rsidRPr="00AD528F">
          <w:rPr>
            <w:rStyle w:val="ad"/>
            <w:i/>
            <w:iCs/>
          </w:rPr>
          <w:t>.</w:t>
        </w:r>
        <w:r w:rsidR="00323265" w:rsidRPr="00323265">
          <w:rPr>
            <w:rStyle w:val="ad"/>
            <w:i/>
            <w:iCs/>
            <w:lang w:val="en-US"/>
          </w:rPr>
          <w:t>msu</w:t>
        </w:r>
        <w:r w:rsidR="00323265" w:rsidRPr="00AD528F">
          <w:rPr>
            <w:rStyle w:val="ad"/>
            <w:i/>
            <w:iCs/>
          </w:rPr>
          <w:t>.</w:t>
        </w:r>
        <w:r w:rsidR="00323265" w:rsidRPr="00323265">
          <w:rPr>
            <w:rStyle w:val="ad"/>
            <w:i/>
            <w:iCs/>
            <w:lang w:val="en-US"/>
          </w:rPr>
          <w:t>ru</w:t>
        </w:r>
      </w:hyperlink>
    </w:p>
    <w:p w14:paraId="3855CF56" w14:textId="77777777" w:rsidR="000B3C2A" w:rsidRPr="00AD528F" w:rsidRDefault="000B3C2A">
      <w:pPr>
        <w:rPr>
          <w:rFonts w:eastAsiaTheme="minorEastAsia"/>
        </w:rPr>
      </w:pPr>
    </w:p>
    <w:p w14:paraId="484FE73D" w14:textId="5A531252" w:rsidR="00252976" w:rsidRDefault="00AD528F" w:rsidP="00A42CA7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Рассматривается</w:t>
      </w:r>
      <w:r w:rsidR="0005258A" w:rsidRPr="00323265">
        <w:rPr>
          <w:rFonts w:eastAsiaTheme="minorEastAsia"/>
        </w:rPr>
        <w:t xml:space="preserve"> </w:t>
      </w:r>
      <w:r w:rsidR="00252976">
        <w:rPr>
          <w:rFonts w:eastAsiaTheme="minorEastAsia"/>
        </w:rPr>
        <w:t xml:space="preserve">проблема калибровки параметров </w:t>
      </w:r>
      <w:r w:rsidR="000665AD" w:rsidRPr="00091D3B">
        <w:rPr>
          <w:rFonts w:eastAsiaTheme="minorEastAsia"/>
        </w:rPr>
        <w:t xml:space="preserve">для </w:t>
      </w:r>
      <w:r w:rsidR="007807FD" w:rsidRPr="000E7E56">
        <w:rPr>
          <w:rFonts w:eastAsiaTheme="minorEastAsia"/>
        </w:rPr>
        <w:t>задач предиктивного управления</w:t>
      </w:r>
      <w:r w:rsidR="0005258A" w:rsidRPr="00091D3B">
        <w:rPr>
          <w:rFonts w:eastAsiaTheme="minorEastAsia"/>
        </w:rPr>
        <w:t xml:space="preserve"> </w:t>
      </w:r>
      <w:r w:rsidR="0005258A" w:rsidRPr="00076723">
        <w:rPr>
          <w:rFonts w:eastAsiaTheme="minorEastAsia"/>
        </w:rPr>
        <w:t>физическими системами</w:t>
      </w:r>
      <w:r w:rsidR="00845E6C" w:rsidRPr="004B2957">
        <w:rPr>
          <w:rFonts w:eastAsiaTheme="minorEastAsia"/>
        </w:rPr>
        <w:t xml:space="preserve"> </w:t>
      </w:r>
      <w:r w:rsidR="00E33020" w:rsidRPr="004B2957">
        <w:rPr>
          <w:rFonts w:eastAsiaTheme="minorEastAsia"/>
        </w:rPr>
        <w:t>[1,2]</w:t>
      </w:r>
      <w:r w:rsidR="0034626D" w:rsidRPr="004B2957">
        <w:rPr>
          <w:rFonts w:eastAsiaTheme="minorEastAsia"/>
        </w:rPr>
        <w:t xml:space="preserve">. </w:t>
      </w:r>
      <w:r w:rsidR="00252976" w:rsidRPr="004B2957">
        <w:rPr>
          <w:rFonts w:eastAsiaTheme="minorEastAsia"/>
        </w:rPr>
        <w:t>В такой задаче рассматривается следующее уравнение перехода:</w:t>
      </w:r>
      <w:r w:rsidR="00252976">
        <w:rPr>
          <w:rFonts w:eastAsiaTheme="minorEastAsia"/>
        </w:rPr>
        <w:t xml:space="preserve"> </w:t>
      </w:r>
    </w:p>
    <w:p w14:paraId="5A6E751B" w14:textId="1735B9DC" w:rsidR="00252976" w:rsidRPr="00323265" w:rsidRDefault="009A48B0" w:rsidP="00252976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A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ω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</m:oMath>
      </m:oMathPara>
    </w:p>
    <w:p w14:paraId="72B7C319" w14:textId="264B9456" w:rsidR="00A75524" w:rsidRPr="00F46AFD" w:rsidRDefault="00A75524" w:rsidP="00A75524">
      <w:pPr>
        <w:jc w:val="both"/>
        <w:rPr>
          <w:rFonts w:eastAsiaTheme="minorEastAsia"/>
        </w:rPr>
      </w:pPr>
      <w:r w:rsidRPr="00323265"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Pr="00323265">
        <w:rPr>
          <w:rFonts w:eastAsiaTheme="minorEastAsia"/>
        </w:rPr>
        <w:t>– вектор состояния системы</w:t>
      </w:r>
      <m:oMath>
        <m:r>
          <w:rPr>
            <w:rFonts w:ascii="Cambria Math" w:eastAsiaTheme="minorEastAsia" w:hAnsi="Cambria Math"/>
          </w:rPr>
          <m:t xml:space="preserve">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Pr="00323265">
        <w:rPr>
          <w:rFonts w:eastAsiaTheme="minorEastAsia"/>
        </w:rPr>
        <w:t xml:space="preserve"> – вектор управляющих воздействий на систему</w:t>
      </w:r>
      <m:oMath>
        <m:r>
          <w:rPr>
            <w:rFonts w:ascii="Cambria Math" w:eastAsiaTheme="minorEastAsia" w:hAnsi="Cambria Math"/>
          </w:rPr>
          <m:t xml:space="preserve">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ω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Pr="00323265">
        <w:rPr>
          <w:rFonts w:eastAsiaTheme="minorEastAsia"/>
        </w:rPr>
        <w:t xml:space="preserve"> – </w:t>
      </w:r>
      <w:r>
        <w:rPr>
          <w:rFonts w:eastAsiaTheme="minorEastAsia"/>
        </w:rPr>
        <w:t xml:space="preserve">случайный </w:t>
      </w:r>
      <w:r w:rsidRPr="00323265">
        <w:rPr>
          <w:rFonts w:eastAsiaTheme="minorEastAsia"/>
        </w:rPr>
        <w:t xml:space="preserve">вектор </w:t>
      </w:r>
      <w:r>
        <w:rPr>
          <w:rFonts w:eastAsiaTheme="minorEastAsia"/>
        </w:rPr>
        <w:t xml:space="preserve">погрешности </w:t>
      </w:r>
      <w:r w:rsidRPr="00323265">
        <w:rPr>
          <w:rFonts w:eastAsiaTheme="minorEastAsia"/>
        </w:rPr>
        <w:t>измер</w:t>
      </w:r>
      <w:r>
        <w:rPr>
          <w:rFonts w:eastAsiaTheme="minorEastAsia"/>
        </w:rPr>
        <w:t>ений</w:t>
      </w:r>
      <w:r w:rsidRPr="00E14A20">
        <w:rPr>
          <w:rFonts w:eastAsiaTheme="minorEastAsia"/>
        </w:rPr>
        <w:t>,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ω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>∈</m:t>
        </m:r>
        <m:r>
          <m:rPr>
            <m:scr m:val="script"/>
          </m:rP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(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μ</m:t>
            </m:r>
            <m:r>
              <w:rPr>
                <w:rFonts w:ascii="Cambria Math" w:eastAsiaTheme="minorEastAsia" w:hAnsi="Cambria Math"/>
              </w:rPr>
              <m:t xml:space="preserve"> </m:t>
            </m:r>
          </m:e>
        </m:acc>
        <m:r>
          <w:rPr>
            <w:rFonts w:ascii="Cambria Math" w:eastAsiaTheme="minorEastAsia" w:hAnsi="Cambria Math"/>
          </w:rPr>
          <m:t xml:space="preserve">,  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>)</m:t>
        </m:r>
      </m:oMath>
      <w:r w:rsidRPr="00323265">
        <w:rPr>
          <w:rFonts w:eastAsiaTheme="minorEastAsia"/>
        </w:rPr>
        <w:t xml:space="preserve"> в момент времени </w:t>
      </w:r>
      <m:oMath>
        <m:r>
          <w:rPr>
            <w:rFonts w:ascii="Cambria Math" w:eastAsiaTheme="minorEastAsia" w:hAnsi="Cambria Math"/>
          </w:rPr>
          <m:t>t</m:t>
        </m:r>
      </m:oMath>
      <w:r w:rsidRPr="00E77FC0">
        <w:rPr>
          <w:rFonts w:eastAsiaTheme="minorEastAsia"/>
        </w:rPr>
        <w:t>;</w:t>
      </w:r>
      <w:r w:rsidRPr="0032326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A, </m:t>
        </m:r>
        <m:r>
          <w:rPr>
            <w:rFonts w:ascii="Cambria Math" w:eastAsiaTheme="minorEastAsia" w:hAnsi="Cambria Math"/>
            <w:lang w:val="en-US"/>
          </w:rPr>
          <m:t>B</m:t>
        </m:r>
      </m:oMath>
      <w:r w:rsidRPr="00323265">
        <w:rPr>
          <w:rFonts w:eastAsiaTheme="minorEastAsia"/>
          <w:i/>
        </w:rPr>
        <w:t xml:space="preserve"> </w:t>
      </w:r>
      <w:r w:rsidRPr="00323265">
        <w:rPr>
          <w:rFonts w:eastAsiaTheme="minorEastAsia"/>
        </w:rPr>
        <w:t>– параметры системы</w:t>
      </w:r>
      <w:r>
        <w:rPr>
          <w:rFonts w:eastAsiaTheme="minorEastAsia"/>
        </w:rPr>
        <w:t>, представленные матрицами.</w:t>
      </w:r>
    </w:p>
    <w:p w14:paraId="0B248F18" w14:textId="4525F0C7" w:rsidR="001B5D77" w:rsidRDefault="00A75524" w:rsidP="00A42CA7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При это</w:t>
      </w:r>
      <w:r w:rsidR="00B81F30">
        <w:rPr>
          <w:rFonts w:eastAsiaTheme="minorEastAsia"/>
        </w:rPr>
        <w:t>м</w:t>
      </w:r>
      <w:r>
        <w:rPr>
          <w:rFonts w:eastAsiaTheme="minorEastAsia"/>
        </w:rPr>
        <w:t xml:space="preserve"> сами параметры системы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A</m:t>
        </m:r>
      </m:oMath>
      <w:r w:rsidR="004B2957">
        <w:rPr>
          <w:rFonts w:eastAsiaTheme="minorEastAsia"/>
        </w:rPr>
        <w:t xml:space="preserve"> и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lang w:val="en-US"/>
          </w:rPr>
          <m:t>B</m:t>
        </m:r>
      </m:oMath>
      <w:r>
        <w:rPr>
          <w:rFonts w:eastAsiaTheme="minorEastAsia"/>
        </w:rPr>
        <w:t xml:space="preserve"> на </w:t>
      </w:r>
      <w:r w:rsidR="00B81F30">
        <w:rPr>
          <w:rFonts w:eastAsiaTheme="minorEastAsia"/>
        </w:rPr>
        <w:t xml:space="preserve">практике могут </w:t>
      </w:r>
      <w:r>
        <w:rPr>
          <w:rFonts w:eastAsiaTheme="minorEastAsia"/>
        </w:rPr>
        <w:t>завис</w:t>
      </w:r>
      <w:r w:rsidR="00B81F30">
        <w:rPr>
          <w:rFonts w:eastAsiaTheme="minorEastAsia"/>
        </w:rPr>
        <w:t>е</w:t>
      </w:r>
      <w:r>
        <w:rPr>
          <w:rFonts w:eastAsiaTheme="minorEastAsia"/>
        </w:rPr>
        <w:t>т</w:t>
      </w:r>
      <w:r w:rsidR="00B81F30">
        <w:rPr>
          <w:rFonts w:eastAsiaTheme="minorEastAsia"/>
        </w:rPr>
        <w:t>ь</w:t>
      </w:r>
      <w:r>
        <w:rPr>
          <w:rFonts w:eastAsiaTheme="minorEastAsia"/>
        </w:rPr>
        <w:t xml:space="preserve"> от времени: </w:t>
      </w:r>
      <m:oMath>
        <m:r>
          <w:rPr>
            <w:rFonts w:ascii="Cambria Math" w:eastAsiaTheme="minorEastAsia" w:hAnsi="Cambria Math"/>
          </w:rPr>
          <m:t>A=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Pr="00A75524">
        <w:rPr>
          <w:rFonts w:eastAsiaTheme="minorEastAsia"/>
        </w:rPr>
        <w:t xml:space="preserve">; </w:t>
      </w:r>
      <m:oMath>
        <m:r>
          <w:rPr>
            <w:rFonts w:ascii="Cambria Math" w:eastAsiaTheme="minorEastAsia" w:hAnsi="Cambria Math"/>
          </w:rPr>
          <m:t>B=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Pr="00A75524">
        <w:rPr>
          <w:rFonts w:eastAsiaTheme="minorEastAsia"/>
        </w:rPr>
        <w:t xml:space="preserve">. </w:t>
      </w:r>
      <w:r>
        <w:rPr>
          <w:rFonts w:eastAsiaTheme="minorEastAsia"/>
        </w:rPr>
        <w:t xml:space="preserve">Это может быть связано с износом оборудования или выходом его из строя или его частей. </w:t>
      </w:r>
      <w:r w:rsidR="00F6209F">
        <w:rPr>
          <w:rFonts w:eastAsiaTheme="minorEastAsia"/>
        </w:rPr>
        <w:t>Так</w:t>
      </w:r>
      <w:r w:rsidR="00F219CA">
        <w:rPr>
          <w:rFonts w:eastAsiaTheme="minorEastAsia"/>
        </w:rPr>
        <w:t xml:space="preserve"> возникает проблема уточнения информации о</w:t>
      </w:r>
      <w:r w:rsidR="00F6209F">
        <w:rPr>
          <w:rFonts w:eastAsiaTheme="minorEastAsia"/>
        </w:rPr>
        <w:t>б исследуемой</w:t>
      </w:r>
      <w:r w:rsidR="00F219CA">
        <w:rPr>
          <w:rFonts w:eastAsiaTheme="minorEastAsia"/>
        </w:rPr>
        <w:t xml:space="preserve"> системе</w:t>
      </w:r>
      <w:r w:rsidR="00B81F30">
        <w:rPr>
          <w:rFonts w:eastAsiaTheme="minorEastAsia"/>
        </w:rPr>
        <w:t xml:space="preserve"> непосредственно</w:t>
      </w:r>
      <w:r w:rsidR="00F219CA">
        <w:rPr>
          <w:rFonts w:eastAsiaTheme="minorEastAsia"/>
        </w:rPr>
        <w:t xml:space="preserve"> в процессе управления </w:t>
      </w:r>
      <w:r w:rsidR="00F6209F">
        <w:rPr>
          <w:rFonts w:eastAsiaTheme="minorEastAsia"/>
        </w:rPr>
        <w:t>данной</w:t>
      </w:r>
      <w:r w:rsidR="00F6209F">
        <w:rPr>
          <w:rFonts w:eastAsiaTheme="minorEastAsia"/>
        </w:rPr>
        <w:t xml:space="preserve"> </w:t>
      </w:r>
      <w:r w:rsidR="00F219CA">
        <w:rPr>
          <w:rFonts w:eastAsiaTheme="minorEastAsia"/>
        </w:rPr>
        <w:t>системой</w:t>
      </w:r>
      <w:r w:rsidR="00091D3B" w:rsidRPr="000E7E56">
        <w:rPr>
          <w:rFonts w:eastAsiaTheme="minorEastAsia"/>
        </w:rPr>
        <w:t xml:space="preserve"> </w:t>
      </w:r>
      <w:r w:rsidR="00E33020" w:rsidRPr="00091D3B">
        <w:rPr>
          <w:rFonts w:eastAsiaTheme="minorEastAsia"/>
        </w:rPr>
        <w:t>[3]</w:t>
      </w:r>
      <w:r w:rsidR="00F219CA">
        <w:rPr>
          <w:rFonts w:eastAsiaTheme="minorEastAsia"/>
        </w:rPr>
        <w:t xml:space="preserve">. </w:t>
      </w:r>
      <w:r w:rsidR="001B5D77">
        <w:rPr>
          <w:rFonts w:eastAsiaTheme="minorEastAsia"/>
        </w:rPr>
        <w:t xml:space="preserve">Для этого будем искать оценку параметров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</m:acc>
      </m:oMath>
      <w:r w:rsidR="00F6209F">
        <w:rPr>
          <w:rFonts w:eastAsiaTheme="minorEastAsia"/>
        </w:rPr>
        <w:t xml:space="preserve"> и </w:t>
      </w:r>
      <m:oMath>
        <m:r>
          <w:rPr>
            <w:rFonts w:ascii="Cambria Math" w:hAnsi="Cambria Math"/>
          </w:rPr>
          <m:t xml:space="preserve"> 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1B5D77">
        <w:rPr>
          <w:rFonts w:eastAsiaTheme="minorEastAsia"/>
        </w:rPr>
        <w:t xml:space="preserve"> путем минимизации следующего функционала:</w:t>
      </w:r>
    </w:p>
    <w:p w14:paraId="48478194" w14:textId="7EC71C99" w:rsidR="001B5D77" w:rsidRDefault="001B5D77" w:rsidP="00A42CA7">
      <w:pPr>
        <w:ind w:firstLine="708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Q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A,B</m:t>
              </m:r>
            </m:e>
          </m:d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t=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+1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-A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t-1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-B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t-1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</w:p>
    <w:p w14:paraId="4593E4C9" w14:textId="4BB0BCF4" w:rsidR="001B5D77" w:rsidRDefault="001B5D77" w:rsidP="00A42CA7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 xml:space="preserve">По ходу управления объектом в каждый момент времени накапливается </w:t>
      </w:r>
      <w:r w:rsidR="00B00153">
        <w:rPr>
          <w:rFonts w:eastAsiaTheme="minorEastAsia"/>
        </w:rPr>
        <w:t xml:space="preserve">информация </w:t>
      </w:r>
      <w:r>
        <w:rPr>
          <w:rFonts w:eastAsiaTheme="minorEastAsia"/>
        </w:rPr>
        <w:t>специального вида, на основе которой можно получить искомые оценки:</w:t>
      </w:r>
    </w:p>
    <w:p w14:paraId="564DB9DA" w14:textId="5C8AD283" w:rsidR="00032FE6" w:rsidRDefault="00032FE6" w:rsidP="00A42CA7">
      <w:pPr>
        <w:ind w:firstLine="708"/>
        <w:jc w:val="both"/>
        <w:rPr>
          <w:rFonts w:eastAsiaTheme="minorEastAsia"/>
        </w:rPr>
      </w:pPr>
    </w:p>
    <w:p w14:paraId="20EC2851" w14:textId="77777777" w:rsidR="00BF2431" w:rsidRPr="00BD6144" w:rsidRDefault="00BF2431" w:rsidP="00BF2431">
      <w:pPr>
        <w:ind w:firstLine="708"/>
        <w:jc w:val="center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  <m:ctrlPr>
                      <w:rPr>
                        <w:rFonts w:ascii="Cambria Math" w:eastAsia="Cambria Math" w:hAnsi="Cambria Math"/>
                        <w:i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-1</m:t>
                        </m:r>
                      </m:sub>
                    </m:sSub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-1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-1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m:rPr>
                  <m:nor/>
                </m:rPr>
                <w:rPr>
                  <w:lang w:val="en-US"/>
                </w:rPr>
                <m:t>T</m:t>
              </m:r>
            </m:sup>
          </m:sSup>
        </m:oMath>
      </m:oMathPara>
    </w:p>
    <w:p w14:paraId="54BAE4E6" w14:textId="77777777" w:rsidR="00BF2431" w:rsidRPr="00091D3B" w:rsidRDefault="00BF2431" w:rsidP="00A42CA7">
      <w:pPr>
        <w:ind w:firstLine="708"/>
        <w:jc w:val="both"/>
        <w:rPr>
          <w:rFonts w:eastAsiaTheme="minorEastAsia"/>
          <w:lang w:val="en-US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0"/>
        <w:gridCol w:w="399"/>
      </w:tblGrid>
      <w:tr w:rsidR="00032FE6" w:rsidRPr="00032FE6" w14:paraId="16ED6B22" w14:textId="77777777" w:rsidTr="009A48B0">
        <w:tc>
          <w:tcPr>
            <w:tcW w:w="9013" w:type="dxa"/>
            <w:vAlign w:val="center"/>
          </w:tcPr>
          <w:p w14:paraId="5F13B9C8" w14:textId="680F9C2D" w:rsidR="00032FE6" w:rsidRPr="00032FE6" w:rsidRDefault="00032FE6" w:rsidP="00032FE6">
            <w:pPr>
              <w:spacing w:line="360" w:lineRule="auto"/>
              <w:ind w:left="-15" w:firstLine="299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  </m:t>
                </m:r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C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u-RU"/>
                            </w:rPr>
                            <m:t>G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u-RU"/>
                            </w:rPr>
                            <m:t>H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u-RU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t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u-RU"/>
                          </w:rPr>
                          <m:t>t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400" w:type="dxa"/>
            <w:vAlign w:val="center"/>
          </w:tcPr>
          <w:p w14:paraId="12CB28EB" w14:textId="67B73F87" w:rsidR="00032FE6" w:rsidRPr="00032FE6" w:rsidRDefault="00032FE6" w:rsidP="00032FE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</w:t>
            </w:r>
            <w:r w:rsidRPr="00032FE6">
              <w:rPr>
                <w:sz w:val="24"/>
                <w:szCs w:val="24"/>
                <w:lang w:val="ru-RU"/>
              </w:rPr>
              <w:t>1</w:t>
            </w:r>
            <w:r w:rsidRPr="00032FE6">
              <w:rPr>
                <w:sz w:val="24"/>
                <w:szCs w:val="24"/>
              </w:rPr>
              <w:t>)</w:t>
            </w:r>
          </w:p>
        </w:tc>
      </w:tr>
    </w:tbl>
    <w:p w14:paraId="2389D52D" w14:textId="77777777" w:rsidR="00BD6144" w:rsidRPr="00BD6144" w:rsidRDefault="00BD6144" w:rsidP="00091D3B">
      <w:pPr>
        <w:spacing w:line="360" w:lineRule="auto"/>
        <w:ind w:right="-15"/>
        <w:rPr>
          <w:i/>
          <w:lang w:val="en-US"/>
        </w:rPr>
      </w:pPr>
    </w:p>
    <w:p w14:paraId="6D410847" w14:textId="1F8C6363" w:rsidR="00BD6144" w:rsidRPr="00B00153" w:rsidRDefault="009A48B0" w:rsidP="00032FE6">
      <w:pPr>
        <w:ind w:firstLine="708"/>
        <w:jc w:val="center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</w:rPr>
            <m:t>=G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67CD8D8D" w14:textId="77777777" w:rsidR="00B00153" w:rsidRPr="000665AD" w:rsidRDefault="00B00153" w:rsidP="00A42CA7">
      <w:pPr>
        <w:ind w:firstLine="708"/>
        <w:jc w:val="both"/>
        <w:rPr>
          <w:rFonts w:eastAsiaTheme="minorEastAsia"/>
        </w:rPr>
      </w:pPr>
    </w:p>
    <w:p w14:paraId="725200CF" w14:textId="558B8A36" w:rsidR="00F219CA" w:rsidRDefault="00B00153" w:rsidP="00B00153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где матрица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 xml:space="preserve"> – каноническая калибровочная информация</w:t>
      </w:r>
      <w:r w:rsidR="00E33020" w:rsidRPr="00091D3B">
        <w:rPr>
          <w:rFonts w:eastAsiaTheme="minorEastAsia"/>
        </w:rPr>
        <w:t xml:space="preserve"> [4]</w:t>
      </w:r>
      <w:r>
        <w:rPr>
          <w:rFonts w:eastAsiaTheme="minorEastAsia"/>
        </w:rPr>
        <w:t xml:space="preserve">. Для вычисления матрицы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 xml:space="preserve"> в каждый момент времени достаточно добавлять к текущему значению новый элемент измерений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rPr>
          <w:rFonts w:eastAsiaTheme="minorEastAsia"/>
        </w:rPr>
        <w:t>. В настоящей работе мы исследуем случай, в котором</w:t>
      </w:r>
      <w:r w:rsidR="00F6209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A</m:t>
        </m:r>
      </m:oMath>
      <w:r w:rsidR="00F6209F" w:rsidRPr="000E7E56">
        <w:rPr>
          <w:rFonts w:eastAsiaTheme="minorEastAsia"/>
        </w:rPr>
        <w:t xml:space="preserve"> </w:t>
      </w:r>
      <w:r w:rsidR="00F6209F">
        <w:rPr>
          <w:rFonts w:eastAsiaTheme="minorEastAsia"/>
        </w:rPr>
        <w:t>и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B </m:t>
        </m:r>
      </m:oMath>
      <w:r>
        <w:rPr>
          <w:rFonts w:eastAsiaTheme="minorEastAsia"/>
        </w:rPr>
        <w:t xml:space="preserve">– это </w:t>
      </w:r>
      <w:r w:rsidR="006A027C">
        <w:rPr>
          <w:rFonts w:eastAsiaTheme="minorEastAsia"/>
        </w:rPr>
        <w:t xml:space="preserve">медленно эволюционирующие </w:t>
      </w:r>
      <w:r>
        <w:rPr>
          <w:rFonts w:eastAsiaTheme="minorEastAsia"/>
        </w:rPr>
        <w:t xml:space="preserve">стохастические процессы с дискретным временем. </w:t>
      </w:r>
      <w:r w:rsidR="00F219CA">
        <w:rPr>
          <w:rFonts w:eastAsiaTheme="minorEastAsia"/>
        </w:rPr>
        <w:t xml:space="preserve">Для </w:t>
      </w:r>
      <w:r>
        <w:rPr>
          <w:rFonts w:eastAsiaTheme="minorEastAsia"/>
        </w:rPr>
        <w:t>получения адекватной оценки обновление канонической информации согласно</w:t>
      </w:r>
      <w:r w:rsidR="00032FE6">
        <w:rPr>
          <w:rFonts w:eastAsiaTheme="minorEastAsia"/>
        </w:rPr>
        <w:t xml:space="preserve"> </w:t>
      </w:r>
      <w:r w:rsidR="00F6209F">
        <w:rPr>
          <w:rFonts w:eastAsiaTheme="minorEastAsia"/>
        </w:rPr>
        <w:t xml:space="preserve">формуле </w:t>
      </w:r>
      <w:r w:rsidR="00032FE6">
        <w:rPr>
          <w:rFonts w:eastAsiaTheme="minorEastAsia"/>
        </w:rPr>
        <w:t>(1)</w:t>
      </w:r>
      <w:r>
        <w:rPr>
          <w:rFonts w:eastAsiaTheme="minorEastAsia"/>
        </w:rPr>
        <w:t xml:space="preserve"> не </w:t>
      </w:r>
      <w:r w:rsidR="00F6209F">
        <w:rPr>
          <w:rFonts w:eastAsiaTheme="minorEastAsia"/>
        </w:rPr>
        <w:t>подходит</w:t>
      </w:r>
      <w:r>
        <w:rPr>
          <w:rFonts w:eastAsiaTheme="minorEastAsia"/>
        </w:rPr>
        <w:t xml:space="preserve">, т.к. информация за </w:t>
      </w:r>
      <w:r w:rsidR="006A027C">
        <w:rPr>
          <w:rFonts w:eastAsiaTheme="minorEastAsia"/>
        </w:rPr>
        <w:t xml:space="preserve">достаточно </w:t>
      </w:r>
      <w:r w:rsidR="00F6209F">
        <w:rPr>
          <w:rFonts w:eastAsiaTheme="minorEastAsia"/>
        </w:rPr>
        <w:t>отдаленные</w:t>
      </w:r>
      <w:r w:rsidR="00F6209F">
        <w:rPr>
          <w:rFonts w:eastAsiaTheme="minorEastAsia"/>
        </w:rPr>
        <w:t xml:space="preserve"> </w:t>
      </w:r>
      <w:r>
        <w:rPr>
          <w:rFonts w:eastAsiaTheme="minorEastAsia"/>
        </w:rPr>
        <w:t xml:space="preserve">отрезки времени будет смещать оценку от актуальных значений. Для </w:t>
      </w:r>
      <w:r w:rsidR="00F219CA">
        <w:rPr>
          <w:rFonts w:eastAsiaTheme="minorEastAsia"/>
        </w:rPr>
        <w:t>решения этой проблемы предлагается</w:t>
      </w:r>
      <w:r w:rsidR="006A027C">
        <w:rPr>
          <w:rFonts w:eastAsiaTheme="minorEastAsia"/>
        </w:rPr>
        <w:t xml:space="preserve"> модифицировать</w:t>
      </w:r>
      <w:r w:rsidR="00F219CA">
        <w:rPr>
          <w:rFonts w:eastAsiaTheme="minorEastAsia"/>
        </w:rPr>
        <w:t xml:space="preserve"> калибровк</w:t>
      </w:r>
      <w:r w:rsidR="006A027C">
        <w:rPr>
          <w:rFonts w:eastAsiaTheme="minorEastAsia"/>
        </w:rPr>
        <w:t>у</w:t>
      </w:r>
      <w:r w:rsidR="00F219CA">
        <w:rPr>
          <w:rFonts w:eastAsiaTheme="minorEastAsia"/>
        </w:rPr>
        <w:t xml:space="preserve"> параметров следующим образом:</w:t>
      </w:r>
    </w:p>
    <w:p w14:paraId="35921209" w14:textId="77777777" w:rsidR="00F219CA" w:rsidRDefault="00F219CA" w:rsidP="00A42CA7">
      <w:pPr>
        <w:ind w:firstLine="708"/>
        <w:jc w:val="both"/>
        <w:rPr>
          <w:rFonts w:eastAsiaTheme="minorEastAsia"/>
        </w:rPr>
      </w:pPr>
    </w:p>
    <w:p w14:paraId="4D5765E7" w14:textId="77777777" w:rsidR="00F219CA" w:rsidRPr="003E538D" w:rsidRDefault="009A48B0" w:rsidP="00F219CA">
      <w:pPr>
        <w:spacing w:line="360" w:lineRule="auto"/>
        <w:rPr>
          <w:iCs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C≔αC+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0≤α≤1</m:t>
                  </m:r>
                </m:e>
              </m:eqArr>
            </m:e>
          </m:d>
        </m:oMath>
      </m:oMathPara>
    </w:p>
    <w:p w14:paraId="4957ECF1" w14:textId="55A2FDFF" w:rsidR="00845E6C" w:rsidRDefault="00F219CA" w:rsidP="00F4126B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где </w:t>
      </w:r>
      <m:oMath>
        <m:r>
          <w:rPr>
            <w:rFonts w:ascii="Cambria Math" w:hAnsi="Cambria Math"/>
          </w:rPr>
          <m:t>α</m:t>
        </m:r>
      </m:oMath>
      <w:r>
        <w:rPr>
          <w:rFonts w:eastAsiaTheme="minorEastAsia"/>
        </w:rPr>
        <w:t xml:space="preserve"> – коэффициент забывания. </w:t>
      </w:r>
      <w:r w:rsidR="00845E6C">
        <w:rPr>
          <w:rFonts w:eastAsiaTheme="minorEastAsia"/>
        </w:rPr>
        <w:t xml:space="preserve">Такая модификация процедуры накопления </w:t>
      </w:r>
      <w:r w:rsidR="00524D91">
        <w:rPr>
          <w:rFonts w:eastAsiaTheme="minorEastAsia"/>
        </w:rPr>
        <w:t xml:space="preserve">калибровочной информации </w:t>
      </w:r>
      <w:r w:rsidR="00845E6C">
        <w:rPr>
          <w:rFonts w:eastAsiaTheme="minorEastAsia"/>
        </w:rPr>
        <w:t>отвечает</w:t>
      </w:r>
      <w:r w:rsidR="00524D91">
        <w:rPr>
          <w:rFonts w:eastAsiaTheme="minorEastAsia"/>
        </w:rPr>
        <w:t xml:space="preserve"> взвешенной версии функционала </w:t>
      </w:r>
      <m:oMath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</m:oMath>
      <w:r w:rsidR="00845E6C">
        <w:rPr>
          <w:rFonts w:eastAsiaTheme="minorEastAsia"/>
        </w:rPr>
        <w:t xml:space="preserve">: </w:t>
      </w:r>
    </w:p>
    <w:p w14:paraId="20BA9870" w14:textId="48719B19" w:rsidR="00845E6C" w:rsidRDefault="00845E6C" w:rsidP="00091D3B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Q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A,B</m:t>
              </m:r>
            </m:e>
          </m:d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t=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+1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-A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t-1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-B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t-1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</w:p>
    <w:p w14:paraId="4FF4E9AF" w14:textId="1C1D07A2" w:rsidR="00F219CA" w:rsidRDefault="00F219CA" w:rsidP="00F219CA">
      <w:pPr>
        <w:jc w:val="both"/>
        <w:rPr>
          <w:rFonts w:eastAsiaTheme="minorEastAsia"/>
        </w:rPr>
      </w:pPr>
      <w:r>
        <w:rPr>
          <w:rFonts w:eastAsiaTheme="minorEastAsia"/>
        </w:rPr>
        <w:t>Тогда</w:t>
      </w:r>
      <w:r w:rsidRPr="00F219CA">
        <w:rPr>
          <w:rFonts w:eastAsiaTheme="minorEastAsia"/>
        </w:rPr>
        <w:t xml:space="preserve"> </w:t>
      </w:r>
      <w:r>
        <w:rPr>
          <w:rFonts w:eastAsiaTheme="minorEastAsia"/>
        </w:rPr>
        <w:t>калибровочная информация выражается следующей формулой:</w:t>
      </w:r>
    </w:p>
    <w:p w14:paraId="3D65F11D" w14:textId="28F677CB" w:rsidR="00F219CA" w:rsidRPr="00B00153" w:rsidRDefault="00B00153" w:rsidP="00B00153">
      <w:pPr>
        <w:spacing w:line="360" w:lineRule="auto"/>
        <w:ind w:right="-15" w:firstLine="710"/>
      </w:pPr>
      <m:oMathPara>
        <m:oMath>
          <m:r>
            <w:rPr>
              <w:rFonts w:ascii="Cambria Math" w:hAnsi="Cambria Math"/>
            </w:rPr>
            <m:t>C=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t</m:t>
              </m:r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+1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e>
          </m:nary>
          <m:r>
            <w:rPr>
              <w:rFonts w:ascii="Cambria Math" w:hAnsi="Cambria Math"/>
            </w:rPr>
            <m:t>.</m:t>
          </m:r>
        </m:oMath>
      </m:oMathPara>
    </w:p>
    <w:p w14:paraId="618E7D38" w14:textId="6827B224" w:rsidR="00B00153" w:rsidRDefault="00B00153" w:rsidP="00091D3B">
      <w:pPr>
        <w:jc w:val="both"/>
        <w:rPr>
          <w:rFonts w:eastAsiaTheme="minorEastAsia"/>
        </w:rPr>
      </w:pPr>
      <w:r>
        <w:rPr>
          <w:rFonts w:eastAsiaTheme="minorEastAsia"/>
        </w:rPr>
        <w:t>При таком подходе</w:t>
      </w:r>
      <w:r w:rsidR="00242DC2">
        <w:rPr>
          <w:rFonts w:eastAsiaTheme="minorEastAsia"/>
        </w:rPr>
        <w:t xml:space="preserve">, </w:t>
      </w:r>
      <w:r w:rsidR="00242DC2">
        <w:rPr>
          <w:rFonts w:eastAsiaTheme="minorEastAsia"/>
        </w:rPr>
        <w:t>из-за вычислительных затрат</w:t>
      </w:r>
      <w:r w:rsidR="00242DC2">
        <w:rPr>
          <w:rFonts w:eastAsiaTheme="minorEastAsia"/>
        </w:rPr>
        <w:t xml:space="preserve">, </w:t>
      </w:r>
      <w:r w:rsidR="00BF2431">
        <w:rPr>
          <w:rFonts w:eastAsiaTheme="minorEastAsia"/>
        </w:rPr>
        <w:t>необязательно вычислять оценки</w:t>
      </w:r>
      <w:r w:rsidR="00F6209F">
        <w:rPr>
          <w:rFonts w:eastAsiaTheme="minorEastAsia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F6209F">
        <w:rPr>
          <w:rFonts w:eastAsiaTheme="minorEastAsia"/>
        </w:rPr>
        <w:t xml:space="preserve"> и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BF2431">
        <w:rPr>
          <w:rFonts w:eastAsiaTheme="minorEastAsia"/>
        </w:rPr>
        <w:t xml:space="preserve"> на каждом</w:t>
      </w:r>
      <w:r w:rsidR="00242DC2">
        <w:rPr>
          <w:rFonts w:eastAsiaTheme="minorEastAsia"/>
        </w:rPr>
        <w:t xml:space="preserve"> временном </w:t>
      </w:r>
      <w:r w:rsidR="00BF2431">
        <w:rPr>
          <w:rFonts w:eastAsiaTheme="minorEastAsia"/>
        </w:rPr>
        <w:t>шаге</w:t>
      </w:r>
      <w:r w:rsidR="00242DC2">
        <w:rPr>
          <w:rFonts w:eastAsiaTheme="minorEastAsia"/>
        </w:rPr>
        <w:t>,</w:t>
      </w:r>
      <w:r w:rsidR="00355150">
        <w:rPr>
          <w:rFonts w:eastAsiaTheme="minorEastAsia"/>
        </w:rPr>
        <w:t xml:space="preserve"> </w:t>
      </w:r>
      <w:r w:rsidR="00242DC2">
        <w:rPr>
          <w:rFonts w:eastAsiaTheme="minorEastAsia"/>
        </w:rPr>
        <w:t>м</w:t>
      </w:r>
      <w:r>
        <w:rPr>
          <w:rFonts w:eastAsiaTheme="minorEastAsia"/>
        </w:rPr>
        <w:t>ож</w:t>
      </w:r>
      <w:r w:rsidR="009D4F6D">
        <w:rPr>
          <w:rFonts w:eastAsiaTheme="minorEastAsia"/>
        </w:rPr>
        <w:t>но</w:t>
      </w:r>
      <w:r>
        <w:rPr>
          <w:rFonts w:eastAsiaTheme="minorEastAsia"/>
        </w:rPr>
        <w:t xml:space="preserve"> </w:t>
      </w:r>
      <w:r w:rsidR="00BF2431">
        <w:rPr>
          <w:rFonts w:eastAsiaTheme="minorEastAsia"/>
        </w:rPr>
        <w:t>ввести параметр, отвеча</w:t>
      </w:r>
      <w:bookmarkStart w:id="0" w:name="_GoBack"/>
      <w:bookmarkEnd w:id="0"/>
      <w:r w:rsidR="00BF2431">
        <w:rPr>
          <w:rFonts w:eastAsiaTheme="minorEastAsia"/>
        </w:rPr>
        <w:t>ющий за</w:t>
      </w:r>
      <w:r w:rsidR="008416DF">
        <w:rPr>
          <w:rFonts w:eastAsiaTheme="minorEastAsia"/>
        </w:rPr>
        <w:t xml:space="preserve"> частоту</w:t>
      </w:r>
      <w:r w:rsidR="00BF2431">
        <w:rPr>
          <w:rFonts w:eastAsiaTheme="minorEastAsia"/>
        </w:rPr>
        <w:t xml:space="preserve"> обновления оценок </w:t>
      </w: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>:</w:t>
      </w:r>
    </w:p>
    <w:p w14:paraId="76C0A809" w14:textId="67381AEB" w:rsidR="00BF2431" w:rsidRPr="00BF2431" w:rsidRDefault="00BF2431" w:rsidP="00BF2431">
      <w:pPr>
        <w:ind w:firstLine="708"/>
        <w:jc w:val="center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-1</m:t>
              </m:r>
            </m:sup>
          </m:sSubSup>
        </m:oMath>
      </m:oMathPara>
    </w:p>
    <w:p w14:paraId="2A7D8B14" w14:textId="6C7E209B" w:rsidR="00BF2431" w:rsidRPr="00BF2431" w:rsidRDefault="00BF2431" w:rsidP="00BF2431">
      <w:pPr>
        <w:ind w:firstLine="708"/>
        <w:jc w:val="center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m:rPr>
              <m:sty m:val="p"/>
            </m:rP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1DA03016" w14:textId="63173328" w:rsidR="008416DF" w:rsidRPr="000E7E56" w:rsidRDefault="00BF2431" w:rsidP="0026494A">
      <w:pPr>
        <w:ind w:firstLine="708"/>
        <w:jc w:val="both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n=1,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 xml:space="preserve">…,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+1</m:t>
          </m:r>
          <m: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-1</m:t>
          </m:r>
          <m:r>
            <w:rPr>
              <w:rFonts w:ascii="Cambria Math" w:hAnsi="Cambria Math"/>
            </w:rPr>
            <m:t>,</m:t>
          </m:r>
        </m:oMath>
      </m:oMathPara>
    </w:p>
    <w:p w14:paraId="4B963227" w14:textId="238580CF" w:rsidR="00A75524" w:rsidRPr="00A75524" w:rsidRDefault="00242DC2" w:rsidP="00B00153">
      <w:pPr>
        <w:jc w:val="both"/>
        <w:rPr>
          <w:rFonts w:eastAsiaTheme="minorEastAsia"/>
          <w:i/>
        </w:rPr>
      </w:pPr>
      <w:r>
        <w:rPr>
          <w:rFonts w:eastAsiaTheme="minorEastAsia"/>
        </w:rPr>
        <w:t xml:space="preserve">где </w:t>
      </w:r>
      <w:r w:rsidRPr="00091D3B">
        <w:rPr>
          <w:rFonts w:eastAsiaTheme="minorEastAsia"/>
        </w:rPr>
        <w:t>[</w:t>
      </w:r>
      <m:oMath>
        <m:r>
          <w:rPr>
            <w:rFonts w:ascii="Cambria Math" w:hAnsi="Cambria Math"/>
          </w:rPr>
          <m:t>⋅</m:t>
        </m:r>
      </m:oMath>
      <w:r w:rsidRPr="00091D3B">
        <w:rPr>
          <w:rFonts w:eastAsiaTheme="minorEastAsia"/>
        </w:rPr>
        <w:t xml:space="preserve">] </w:t>
      </w:r>
      <w:r>
        <w:rPr>
          <w:rFonts w:eastAsiaTheme="minorEastAsia"/>
        </w:rPr>
        <w:t>–</w:t>
      </w:r>
      <w:r w:rsidRPr="00091D3B">
        <w:rPr>
          <w:rFonts w:eastAsiaTheme="minorEastAsia"/>
        </w:rPr>
        <w:t xml:space="preserve"> </w:t>
      </w:r>
      <w:r>
        <w:rPr>
          <w:rFonts w:eastAsiaTheme="minorEastAsia"/>
        </w:rPr>
        <w:t xml:space="preserve">целая часть от числа. </w:t>
      </w:r>
      <w:r w:rsidR="00F219CA">
        <w:rPr>
          <w:rFonts w:eastAsiaTheme="minorEastAsia"/>
        </w:rPr>
        <w:t xml:space="preserve">Предметом исследования является </w:t>
      </w:r>
      <w:r w:rsidR="00866824">
        <w:rPr>
          <w:rFonts w:eastAsiaTheme="minorEastAsia"/>
        </w:rPr>
        <w:t>оценка</w:t>
      </w:r>
      <w:r w:rsidR="00F219CA">
        <w:rPr>
          <w:rFonts w:eastAsiaTheme="minorEastAsia"/>
        </w:rPr>
        <w:t xml:space="preserve"> оптимальны</w:t>
      </w:r>
      <w:r w:rsidR="00B00153">
        <w:rPr>
          <w:rFonts w:eastAsiaTheme="minorEastAsia"/>
        </w:rPr>
        <w:t>х</w:t>
      </w:r>
      <w:r w:rsidR="00F219CA">
        <w:rPr>
          <w:rFonts w:eastAsiaTheme="minorEastAsia"/>
        </w:rPr>
        <w:t xml:space="preserve"> параметров калибровки: частота обновления </w:t>
      </w:r>
      <w:r w:rsidR="008416DF" w:rsidRPr="008416DF">
        <w:rPr>
          <w:rFonts w:eastAsiaTheme="minorEastAsia"/>
        </w:rPr>
        <w:t>(</w:t>
      </w:r>
      <m:oMath>
        <m:r>
          <w:rPr>
            <w:rFonts w:ascii="Cambria Math" w:hAnsi="Cambria Math"/>
          </w:rPr>
          <m:t>N</m:t>
        </m:r>
      </m:oMath>
      <w:r w:rsidR="008416DF" w:rsidRPr="008416DF">
        <w:rPr>
          <w:rFonts w:eastAsiaTheme="minorEastAsia"/>
        </w:rPr>
        <w:t xml:space="preserve">) </w:t>
      </w:r>
      <w:r w:rsidR="00F219CA">
        <w:rPr>
          <w:rFonts w:eastAsiaTheme="minorEastAsia"/>
        </w:rPr>
        <w:t>и коэффициент забывания</w:t>
      </w:r>
      <w:r w:rsidR="008416DF" w:rsidRPr="008416D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</m:t>
        </m:r>
        <m:r>
          <w:rPr>
            <w:rFonts w:ascii="Cambria Math" w:hAnsi="Cambria Math"/>
          </w:rPr>
          <m:t>α)</m:t>
        </m:r>
      </m:oMath>
      <w:r w:rsidR="00BF2431" w:rsidRPr="00091D3B">
        <w:rPr>
          <w:rFonts w:eastAsiaTheme="minorEastAsia"/>
        </w:rPr>
        <w:t xml:space="preserve">. </w:t>
      </w:r>
      <w:r w:rsidR="00BF2431">
        <w:rPr>
          <w:rFonts w:eastAsiaTheme="minorEastAsia"/>
        </w:rPr>
        <w:t>Оценка получена для стохастического дрейфа</w:t>
      </w:r>
      <w:r w:rsidR="00F6209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="00F6209F" w:rsidRPr="000E7E56">
        <w:rPr>
          <w:rFonts w:eastAsiaTheme="minorEastAsia"/>
        </w:rPr>
        <w:t xml:space="preserve"> </w:t>
      </w:r>
      <w:r w:rsidR="00F6209F">
        <w:rPr>
          <w:rFonts w:eastAsiaTheme="minorEastAsia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="00BF2431">
        <w:rPr>
          <w:rFonts w:eastAsiaTheme="minorEastAsia"/>
        </w:rPr>
        <w:t xml:space="preserve"> </w:t>
      </w:r>
      <w:r w:rsidR="000359D6">
        <w:rPr>
          <w:rFonts w:eastAsiaTheme="minorEastAsia"/>
        </w:rPr>
        <w:t>на основе</w:t>
      </w:r>
      <w:r w:rsidR="00BF2431">
        <w:rPr>
          <w:rFonts w:eastAsiaTheme="minorEastAsia"/>
        </w:rPr>
        <w:t xml:space="preserve"> многомерного гауссовского вектора со скользящим средним</w:t>
      </w:r>
      <w:r w:rsidR="00845E6C">
        <w:rPr>
          <w:rFonts w:eastAsiaTheme="minorEastAsia"/>
        </w:rPr>
        <w:t>.</w:t>
      </w:r>
      <w:r w:rsidR="00F4126B">
        <w:rPr>
          <w:rFonts w:eastAsiaTheme="minorEastAsia"/>
        </w:rPr>
        <w:t xml:space="preserve"> </w:t>
      </w:r>
      <w:r w:rsidR="00BF2431">
        <w:rPr>
          <w:rFonts w:eastAsiaTheme="minorEastAsia"/>
        </w:rPr>
        <w:t>Моделирование производилось</w:t>
      </w:r>
      <w:r w:rsidR="00B12989">
        <w:rPr>
          <w:rFonts w:eastAsiaTheme="minorEastAsia"/>
        </w:rPr>
        <w:t xml:space="preserve"> </w:t>
      </w:r>
      <w:r w:rsidR="00866824">
        <w:rPr>
          <w:rFonts w:eastAsiaTheme="minorEastAsia"/>
        </w:rPr>
        <w:t>на основе</w:t>
      </w:r>
      <w:r w:rsidR="00B12989">
        <w:rPr>
          <w:rFonts w:eastAsiaTheme="minorEastAsia"/>
        </w:rPr>
        <w:t xml:space="preserve"> следующей динамической системы:</w:t>
      </w:r>
      <w:r w:rsidR="00F219CA">
        <w:rPr>
          <w:rFonts w:eastAsiaTheme="minorEastAsia"/>
        </w:rPr>
        <w:t xml:space="preserve"> </w:t>
      </w:r>
    </w:p>
    <w:p w14:paraId="0F2EE35D" w14:textId="1EF1763F" w:rsidR="00A75524" w:rsidRDefault="004C4BE5" w:rsidP="00A42CA7">
      <w:pPr>
        <w:ind w:firstLine="708"/>
        <w:jc w:val="both"/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вязк.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=-</m:t>
                  </m:r>
                  <m:r>
                    <w:rPr>
                      <w:rFonts w:ascii="Cambria Math" w:hAnsi="Cambria Math"/>
                      <w:lang w:val="en-US"/>
                    </w:rPr>
                    <m:t>μ</m:t>
                  </m:r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acc>
                </m:e>
                <m:e>
                  <m:r>
                    <w:rPr>
                      <w:rFonts w:ascii="Cambria Math" w:hAnsi="Cambria Math"/>
                    </w:rPr>
                    <m:t>m</m:t>
                  </m:r>
                  <m:acc>
                    <m:accPr>
                      <m:chr m:val="̈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</w:rPr>
                    <m:t>= 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вязк.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упр.</m:t>
                      </m:r>
                    </m:sub>
                  </m:sSub>
                </m:e>
              </m:eqArr>
            </m:e>
          </m:d>
        </m:oMath>
      </m:oMathPara>
      <w:commentRangeStart w:id="1"/>
      <w:commentRangeEnd w:id="1"/>
    </w:p>
    <w:p w14:paraId="4CA861AB" w14:textId="77777777" w:rsidR="00A75524" w:rsidRDefault="00A75524" w:rsidP="00A42CA7">
      <w:pPr>
        <w:ind w:firstLine="708"/>
        <w:jc w:val="both"/>
        <w:rPr>
          <w:rFonts w:eastAsiaTheme="minorEastAsia"/>
        </w:rPr>
      </w:pPr>
    </w:p>
    <w:p w14:paraId="3055EACF" w14:textId="30520DC1" w:rsidR="00EC02D6" w:rsidRDefault="00C631E2" w:rsidP="00091D3B">
      <w:pPr>
        <w:jc w:val="center"/>
        <w:rPr>
          <w:sz w:val="20"/>
          <w:szCs w:val="20"/>
          <w:lang w:val="en-US"/>
        </w:rPr>
      </w:pPr>
      <w:r w:rsidRPr="00AF0944">
        <w:rPr>
          <w:b/>
        </w:rPr>
        <w:t>Литература</w:t>
      </w:r>
      <w:r w:rsidR="00845E6C">
        <w:rPr>
          <w:b/>
        </w:rPr>
        <w:br/>
      </w:r>
    </w:p>
    <w:p w14:paraId="1BDDCBC8" w14:textId="7BABD9F8" w:rsidR="00EC02D6" w:rsidRPr="000E7E56" w:rsidRDefault="00EC02D6" w:rsidP="00EC02D6">
      <w:pPr>
        <w:rPr>
          <w:lang w:val="en-US"/>
        </w:rPr>
      </w:pPr>
      <w:r w:rsidRPr="000E7E56">
        <w:rPr>
          <w:lang w:val="en-US"/>
        </w:rPr>
        <w:t>[</w:t>
      </w:r>
      <w:r w:rsidR="00E33020" w:rsidRPr="000E7E56">
        <w:rPr>
          <w:lang w:val="en-US"/>
        </w:rPr>
        <w:t>1]</w:t>
      </w:r>
      <w:r w:rsidRPr="000E7E56">
        <w:rPr>
          <w:i/>
          <w:lang w:val="en-US"/>
        </w:rPr>
        <w:t xml:space="preserve"> </w:t>
      </w:r>
      <w:r w:rsidRPr="000E7E56">
        <w:rPr>
          <w:i/>
          <w:lang w:val="en-US"/>
        </w:rPr>
        <w:t>Tatjewski Piotrd</w:t>
      </w:r>
      <w:r w:rsidRPr="000E7E56">
        <w:rPr>
          <w:lang w:val="en-US"/>
        </w:rPr>
        <w:t xml:space="preserve"> // Advanced Control of Industrial Processes: Structures and Algorithms. 2007. P. 347.</w:t>
      </w:r>
    </w:p>
    <w:p w14:paraId="26DF697C" w14:textId="77777777" w:rsidR="00EC02D6" w:rsidRPr="000E7E56" w:rsidRDefault="00EC02D6" w:rsidP="00EC02D6">
      <w:pPr>
        <w:rPr>
          <w:lang w:val="en-US"/>
        </w:rPr>
      </w:pPr>
    </w:p>
    <w:p w14:paraId="4B22C58A" w14:textId="4B9C3BCB" w:rsidR="00EC02D6" w:rsidRPr="000E7E56" w:rsidRDefault="00EC02D6" w:rsidP="00EC02D6">
      <w:pPr>
        <w:rPr>
          <w:lang w:val="en-US"/>
        </w:rPr>
      </w:pPr>
      <w:r w:rsidRPr="000E7E56">
        <w:rPr>
          <w:lang w:val="en-US"/>
        </w:rPr>
        <w:t>[</w:t>
      </w:r>
      <w:r w:rsidR="00E33020" w:rsidRPr="000E7E56">
        <w:rPr>
          <w:lang w:val="en-US"/>
        </w:rPr>
        <w:t>2</w:t>
      </w:r>
      <w:r w:rsidRPr="000E7E56">
        <w:rPr>
          <w:lang w:val="en-US"/>
        </w:rPr>
        <w:t>]</w:t>
      </w:r>
      <w:r w:rsidRPr="000E7E56">
        <w:rPr>
          <w:lang w:val="en-US"/>
        </w:rPr>
        <w:t xml:space="preserve"> </w:t>
      </w:r>
      <w:r w:rsidRPr="000E7E56">
        <w:rPr>
          <w:i/>
          <w:lang w:val="en-US"/>
        </w:rPr>
        <w:t>Smith C.L</w:t>
      </w:r>
      <w:r w:rsidRPr="000E7E56">
        <w:rPr>
          <w:lang w:val="en-US"/>
        </w:rPr>
        <w:t>. // Advanced Process Control Beyond Single-Loop Control. 2010. P. 200</w:t>
      </w:r>
    </w:p>
    <w:p w14:paraId="7246C5B6" w14:textId="201BC198" w:rsidR="00EC02D6" w:rsidRPr="000E7E56" w:rsidRDefault="00EC02D6" w:rsidP="00EC02D6">
      <w:pPr>
        <w:rPr>
          <w:lang w:val="en-US"/>
        </w:rPr>
      </w:pPr>
    </w:p>
    <w:p w14:paraId="12C1A848" w14:textId="0DA92BBF" w:rsidR="00EC02D6" w:rsidRPr="000E7E56" w:rsidRDefault="00EC02D6" w:rsidP="00EC02D6">
      <w:pPr>
        <w:rPr>
          <w:color w:val="222222"/>
          <w:shd w:val="clear" w:color="auto" w:fill="FFFFFF"/>
        </w:rPr>
      </w:pPr>
      <w:r w:rsidRPr="000E7E56">
        <w:t>[</w:t>
      </w:r>
      <w:r w:rsidR="00E33020" w:rsidRPr="000E7E56">
        <w:t>3</w:t>
      </w:r>
      <w:r w:rsidRPr="000E7E56">
        <w:t xml:space="preserve">] </w:t>
      </w:r>
      <w:r w:rsidRPr="000E7E56">
        <w:rPr>
          <w:rStyle w:val="af2"/>
          <w:color w:val="222222"/>
          <w:bdr w:val="none" w:sz="0" w:space="0" w:color="auto" w:frame="1"/>
          <w:shd w:val="clear" w:color="auto" w:fill="FFFFFF"/>
        </w:rPr>
        <w:t>Чураков Е. М., Голубцов П. В.</w:t>
      </w:r>
      <w:r w:rsidRPr="000E7E56">
        <w:rPr>
          <w:color w:val="222222"/>
          <w:shd w:val="clear" w:color="auto" w:fill="FFFFFF"/>
        </w:rPr>
        <w:t> Калибровка и оптимальное управление для неточных предиктивных моделей // </w:t>
      </w:r>
      <w:r w:rsidRPr="000E7E56">
        <w:rPr>
          <w:rStyle w:val="af2"/>
          <w:color w:val="222222"/>
          <w:bdr w:val="none" w:sz="0" w:space="0" w:color="auto" w:frame="1"/>
          <w:shd w:val="clear" w:color="auto" w:fill="FFFFFF"/>
        </w:rPr>
        <w:t>Ученые записки физического факультета Московского Университета</w:t>
      </w:r>
      <w:r w:rsidRPr="000E7E56">
        <w:rPr>
          <w:color w:val="222222"/>
          <w:shd w:val="clear" w:color="auto" w:fill="FFFFFF"/>
        </w:rPr>
        <w:t>. — 2025. — № 6. — С. 2560103.</w:t>
      </w:r>
    </w:p>
    <w:p w14:paraId="2DFFE979" w14:textId="77777777" w:rsidR="00E33020" w:rsidRPr="00091D3B" w:rsidRDefault="00E33020" w:rsidP="00EC02D6"/>
    <w:p w14:paraId="63DE9C0A" w14:textId="2E62E338" w:rsidR="00EC02D6" w:rsidRPr="00091D3B" w:rsidRDefault="00E33020" w:rsidP="00EC02D6">
      <w:pPr>
        <w:rPr>
          <w:sz w:val="20"/>
          <w:szCs w:val="20"/>
          <w:lang w:val="en-US"/>
        </w:rPr>
      </w:pPr>
      <w:r w:rsidRPr="000E7E56">
        <w:rPr>
          <w:lang w:val="en-US"/>
        </w:rPr>
        <w:t>[</w:t>
      </w:r>
      <w:r w:rsidRPr="000E7E56">
        <w:rPr>
          <w:lang w:val="en-US"/>
        </w:rPr>
        <w:t>4</w:t>
      </w:r>
      <w:r w:rsidRPr="000E7E56">
        <w:rPr>
          <w:lang w:val="en-US"/>
        </w:rPr>
        <w:t xml:space="preserve">] </w:t>
      </w:r>
      <w:r w:rsidR="00F6209F" w:rsidRPr="000E7E56">
        <w:rPr>
          <w:i/>
          <w:lang w:val="en-US"/>
        </w:rPr>
        <w:t>Golubtsov P.V.</w:t>
      </w:r>
      <w:r w:rsidR="00F6209F" w:rsidRPr="000E7E56">
        <w:rPr>
          <w:lang w:val="en-US"/>
        </w:rPr>
        <w:t xml:space="preserve"> Information Spaces and Efficient Information Accumulation in Calibration Problems // Lecture Notes on Data Engineering and Communications Technologies, vol. 158. </w:t>
      </w:r>
      <w:r w:rsidR="00F6209F" w:rsidRPr="00926C7E">
        <w:t>2023. P. 53-62. DOI: 10.1007/978-3-031-24475-9</w:t>
      </w:r>
      <w:r w:rsidR="00F6209F">
        <w:t>_5</w:t>
      </w:r>
    </w:p>
    <w:sectPr w:rsidR="00EC02D6" w:rsidRPr="00091D3B" w:rsidSect="0059115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747D2"/>
    <w:multiLevelType w:val="hybridMultilevel"/>
    <w:tmpl w:val="D9B81D14"/>
    <w:lvl w:ilvl="0" w:tplc="C7F22C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1853A3B"/>
    <w:multiLevelType w:val="hybridMultilevel"/>
    <w:tmpl w:val="377E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65"/>
    <w:rsid w:val="00032FE6"/>
    <w:rsid w:val="000359D6"/>
    <w:rsid w:val="0005258A"/>
    <w:rsid w:val="00064A68"/>
    <w:rsid w:val="000665AD"/>
    <w:rsid w:val="00076723"/>
    <w:rsid w:val="00091D3B"/>
    <w:rsid w:val="000961C9"/>
    <w:rsid w:val="000B3C2A"/>
    <w:rsid w:val="000E28AC"/>
    <w:rsid w:val="000E7E56"/>
    <w:rsid w:val="000F3AF7"/>
    <w:rsid w:val="001154D7"/>
    <w:rsid w:val="00124FBE"/>
    <w:rsid w:val="001347D8"/>
    <w:rsid w:val="001B5D77"/>
    <w:rsid w:val="001C0D7A"/>
    <w:rsid w:val="001E6C2C"/>
    <w:rsid w:val="0021109E"/>
    <w:rsid w:val="00231B51"/>
    <w:rsid w:val="00242DC2"/>
    <w:rsid w:val="00245209"/>
    <w:rsid w:val="00252976"/>
    <w:rsid w:val="002604FC"/>
    <w:rsid w:val="0026494A"/>
    <w:rsid w:val="00275B03"/>
    <w:rsid w:val="002A321E"/>
    <w:rsid w:val="002F3F88"/>
    <w:rsid w:val="00323265"/>
    <w:rsid w:val="003245BB"/>
    <w:rsid w:val="00336BB9"/>
    <w:rsid w:val="00345585"/>
    <w:rsid w:val="0034626D"/>
    <w:rsid w:val="00355150"/>
    <w:rsid w:val="00360999"/>
    <w:rsid w:val="0039096F"/>
    <w:rsid w:val="003C4B09"/>
    <w:rsid w:val="003C5B89"/>
    <w:rsid w:val="003F17F4"/>
    <w:rsid w:val="004B1490"/>
    <w:rsid w:val="004B2957"/>
    <w:rsid w:val="004B4AD8"/>
    <w:rsid w:val="004C153A"/>
    <w:rsid w:val="004C4BE5"/>
    <w:rsid w:val="004C6453"/>
    <w:rsid w:val="004D032B"/>
    <w:rsid w:val="004F65CC"/>
    <w:rsid w:val="00513919"/>
    <w:rsid w:val="00524D91"/>
    <w:rsid w:val="005622E6"/>
    <w:rsid w:val="0059115A"/>
    <w:rsid w:val="005A4CF1"/>
    <w:rsid w:val="005E6E4A"/>
    <w:rsid w:val="00664724"/>
    <w:rsid w:val="006A027C"/>
    <w:rsid w:val="006A36E2"/>
    <w:rsid w:val="006C2C7B"/>
    <w:rsid w:val="006E7F85"/>
    <w:rsid w:val="006F4A6E"/>
    <w:rsid w:val="0070408F"/>
    <w:rsid w:val="00732B3B"/>
    <w:rsid w:val="00770698"/>
    <w:rsid w:val="0077193D"/>
    <w:rsid w:val="00777567"/>
    <w:rsid w:val="007807FD"/>
    <w:rsid w:val="007A76C6"/>
    <w:rsid w:val="007B3A2A"/>
    <w:rsid w:val="007E0449"/>
    <w:rsid w:val="008416DF"/>
    <w:rsid w:val="00845E6C"/>
    <w:rsid w:val="00866824"/>
    <w:rsid w:val="00873699"/>
    <w:rsid w:val="00880DCC"/>
    <w:rsid w:val="00896C74"/>
    <w:rsid w:val="009500B1"/>
    <w:rsid w:val="00977D44"/>
    <w:rsid w:val="009944E2"/>
    <w:rsid w:val="009A48B0"/>
    <w:rsid w:val="009D2E75"/>
    <w:rsid w:val="009D4F6D"/>
    <w:rsid w:val="00A01E3C"/>
    <w:rsid w:val="00A20D96"/>
    <w:rsid w:val="00A216A5"/>
    <w:rsid w:val="00A2640D"/>
    <w:rsid w:val="00A305AC"/>
    <w:rsid w:val="00A359A8"/>
    <w:rsid w:val="00A42CA7"/>
    <w:rsid w:val="00A75524"/>
    <w:rsid w:val="00AD528F"/>
    <w:rsid w:val="00AE78CE"/>
    <w:rsid w:val="00AF0944"/>
    <w:rsid w:val="00AF3353"/>
    <w:rsid w:val="00B00153"/>
    <w:rsid w:val="00B11FC3"/>
    <w:rsid w:val="00B12989"/>
    <w:rsid w:val="00B2479D"/>
    <w:rsid w:val="00B27F98"/>
    <w:rsid w:val="00B339F9"/>
    <w:rsid w:val="00B81F30"/>
    <w:rsid w:val="00B91E80"/>
    <w:rsid w:val="00BA61BF"/>
    <w:rsid w:val="00BB45CC"/>
    <w:rsid w:val="00BD1AEB"/>
    <w:rsid w:val="00BD6144"/>
    <w:rsid w:val="00BF2431"/>
    <w:rsid w:val="00C078EE"/>
    <w:rsid w:val="00C26298"/>
    <w:rsid w:val="00C27A9F"/>
    <w:rsid w:val="00C372F8"/>
    <w:rsid w:val="00C631E2"/>
    <w:rsid w:val="00C709C8"/>
    <w:rsid w:val="00C9233F"/>
    <w:rsid w:val="00D40FDE"/>
    <w:rsid w:val="00D65D93"/>
    <w:rsid w:val="00D8758C"/>
    <w:rsid w:val="00DC25F7"/>
    <w:rsid w:val="00E05682"/>
    <w:rsid w:val="00E06390"/>
    <w:rsid w:val="00E14A20"/>
    <w:rsid w:val="00E2498B"/>
    <w:rsid w:val="00E33020"/>
    <w:rsid w:val="00E3798E"/>
    <w:rsid w:val="00E65765"/>
    <w:rsid w:val="00E77FC0"/>
    <w:rsid w:val="00E8136C"/>
    <w:rsid w:val="00EC02D6"/>
    <w:rsid w:val="00ED21D8"/>
    <w:rsid w:val="00F219CA"/>
    <w:rsid w:val="00F4126B"/>
    <w:rsid w:val="00F46AFD"/>
    <w:rsid w:val="00F6209F"/>
    <w:rsid w:val="00F95B4A"/>
    <w:rsid w:val="00FA55E7"/>
    <w:rsid w:val="00FB3570"/>
    <w:rsid w:val="00FB3C50"/>
    <w:rsid w:val="00FC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0511"/>
  <w15:chartTrackingRefBased/>
  <w15:docId w15:val="{ED29F593-2CCB-7849-99F6-72210195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2D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5765"/>
    <w:rPr>
      <w:color w:val="808080"/>
    </w:rPr>
  </w:style>
  <w:style w:type="paragraph" w:styleId="a4">
    <w:name w:val="List Paragraph"/>
    <w:basedOn w:val="a"/>
    <w:uiPriority w:val="34"/>
    <w:qFormat/>
    <w:rsid w:val="00D8758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E6C2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1E6C2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1E6C2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E6C2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E6C2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E6C2C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6C2C"/>
    <w:rPr>
      <w:rFonts w:ascii="Times New Roman" w:hAnsi="Times New Roman" w:cs="Times New Roman"/>
      <w:sz w:val="18"/>
      <w:szCs w:val="18"/>
    </w:rPr>
  </w:style>
  <w:style w:type="paragraph" w:styleId="ac">
    <w:name w:val="caption"/>
    <w:basedOn w:val="a"/>
    <w:next w:val="a"/>
    <w:uiPriority w:val="35"/>
    <w:unhideWhenUsed/>
    <w:qFormat/>
    <w:rsid w:val="002604FC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1">
    <w:name w:val="p1"/>
    <w:basedOn w:val="a"/>
    <w:rsid w:val="001347D8"/>
    <w:rPr>
      <w:rFonts w:ascii="Helvetica" w:hAnsi="Helvetica"/>
      <w:color w:val="000000"/>
      <w:sz w:val="12"/>
      <w:szCs w:val="12"/>
    </w:rPr>
  </w:style>
  <w:style w:type="character" w:styleId="ad">
    <w:name w:val="Hyperlink"/>
    <w:basedOn w:val="a0"/>
    <w:uiPriority w:val="99"/>
    <w:unhideWhenUsed/>
    <w:rsid w:val="000B3C2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2326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C0D7A"/>
    <w:rPr>
      <w:color w:val="954F72" w:themeColor="followedHyperlink"/>
      <w:u w:val="single"/>
    </w:rPr>
  </w:style>
  <w:style w:type="character" w:customStyle="1" w:styleId="c-bibliographic-informationvalue">
    <w:name w:val="c-bibliographic-information__value"/>
    <w:basedOn w:val="a0"/>
    <w:rsid w:val="00AD528F"/>
  </w:style>
  <w:style w:type="paragraph" w:styleId="af0">
    <w:name w:val="Revision"/>
    <w:hidden/>
    <w:uiPriority w:val="99"/>
    <w:semiHidden/>
    <w:rsid w:val="00E14A20"/>
  </w:style>
  <w:style w:type="table" w:styleId="af1">
    <w:name w:val="Table Grid"/>
    <w:basedOn w:val="a1"/>
    <w:uiPriority w:val="39"/>
    <w:rsid w:val="00032FE6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EC02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urakovem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.XSL" StyleName="ISO 690 — первый элемент и дата" Version="1987"/>
</file>

<file path=customXml/itemProps1.xml><?xml version="1.0" encoding="utf-8"?>
<ds:datastoreItem xmlns:ds="http://schemas.openxmlformats.org/officeDocument/2006/customXml" ds:itemID="{0A3A0C8C-4EEB-A04F-AF54-12614127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Чураков</dc:creator>
  <cp:keywords/>
  <dc:description/>
  <cp:lastModifiedBy>Егор Чураков</cp:lastModifiedBy>
  <cp:revision>7</cp:revision>
  <cp:lastPrinted>2026-03-01T17:12:00Z</cp:lastPrinted>
  <dcterms:created xsi:type="dcterms:W3CDTF">2026-03-01T17:12:00Z</dcterms:created>
  <dcterms:modified xsi:type="dcterms:W3CDTF">2026-03-01T17:39:00Z</dcterms:modified>
</cp:coreProperties>
</file>