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54FE45A" w:rsidR="00014B76" w:rsidRDefault="001C328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Применимость</w:t>
      </w:r>
      <w:r w:rsidR="005D09C1">
        <w:rPr>
          <w:rFonts w:ascii="Times New Roman" w:eastAsia="Times New Roman" w:hAnsi="Times New Roman" w:cs="Times New Roman"/>
          <w:b/>
          <w:sz w:val="24"/>
          <w:szCs w:val="24"/>
        </w:rPr>
        <w:t xml:space="preserve"> аппроксимации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метода физической оптики для задачи расчета рассеяния плоской электромагнитной волны на объекте простой формы в промежуточной зоне </w:t>
      </w:r>
    </w:p>
    <w:p w14:paraId="00000002" w14:textId="77777777" w:rsidR="00014B76" w:rsidRDefault="005D09C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Жиров А.В.</w:t>
      </w:r>
    </w:p>
    <w:p w14:paraId="00000003" w14:textId="77777777" w:rsidR="00014B76" w:rsidRDefault="005D09C1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</w:p>
    <w:p w14:paraId="00000004" w14:textId="77777777" w:rsidR="00014B76" w:rsidRDefault="005D09C1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 Физический факультет, Москва, Россия</w:t>
      </w:r>
    </w:p>
    <w:p w14:paraId="00000005" w14:textId="77777777" w:rsidR="00014B76" w:rsidRDefault="005D09C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E-mail: zhirovartemiy@gmail.com</w:t>
      </w:r>
    </w:p>
    <w:p w14:paraId="00000006" w14:textId="24C48924" w:rsidR="00014B76" w:rsidRPr="001C328F" w:rsidRDefault="005D09C1">
      <w:pPr>
        <w:shd w:val="clear" w:color="auto" w:fill="FFFFFF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задачи радиолокации, проектирования антенн и stealth-технологий требуют объемных вычислений при решении задач электродинамики, вследствие чего предлагается возможность заменить применение точного, но затратного метода моментов </w:t>
      </w:r>
      <w:r w:rsidR="00341D60">
        <w:rPr>
          <w:rFonts w:ascii="Times New Roman" w:eastAsia="Times New Roman" w:hAnsi="Times New Roman" w:cs="Times New Roman"/>
          <w:sz w:val="24"/>
          <w:szCs w:val="24"/>
        </w:rPr>
        <w:t xml:space="preserve">специальной аппроксимацией </w:t>
      </w:r>
      <w:r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="00341D6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физической оптики для рассеяния плоской электромагнитной волны</w:t>
      </w:r>
      <w:r w:rsidR="00341D60">
        <w:rPr>
          <w:rFonts w:ascii="Times New Roman" w:eastAsia="Times New Roman" w:hAnsi="Times New Roman" w:cs="Times New Roman"/>
          <w:sz w:val="24"/>
          <w:szCs w:val="24"/>
        </w:rPr>
        <w:t xml:space="preserve"> в промежуточной зоне</w:t>
      </w:r>
      <w:r>
        <w:rPr>
          <w:rFonts w:ascii="Times New Roman" w:eastAsia="Times New Roman" w:hAnsi="Times New Roman" w:cs="Times New Roman"/>
          <w:sz w:val="24"/>
          <w:szCs w:val="24"/>
        </w:rPr>
        <w:t>. Ставится задача найти зависимость величин Е и Н электромагнитного поля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328F" w:rsidRPr="003F2613">
        <w:rPr>
          <w:rFonts w:ascii="Times New Roman" w:hAnsi="Times New Roman" w:cs="Times New Roman"/>
          <w:sz w:val="24"/>
          <w:szCs w:val="24"/>
        </w:rPr>
        <w:t xml:space="preserve">с использованием специального приближения для </w:t>
      </w:r>
      <w:r w:rsidR="00341D60">
        <w:rPr>
          <w:rFonts w:ascii="Times New Roman" w:hAnsi="Times New Roman" w:cs="Times New Roman"/>
          <w:sz w:val="24"/>
          <w:szCs w:val="24"/>
        </w:rPr>
        <w:t>зоны Френеля</w:t>
      </w:r>
      <w:r w:rsidR="001C328F">
        <w:rPr>
          <w:rFonts w:ascii="Times New Roman" w:hAnsi="Times New Roman" w:cs="Times New Roman"/>
          <w:sz w:val="24"/>
          <w:szCs w:val="24"/>
        </w:rPr>
        <w:t xml:space="preserve"> и определить применимость данного подхода путем сравнения с результатами более точного расчета методом моментов (</w:t>
      </w:r>
      <w:r w:rsidR="001C328F">
        <w:rPr>
          <w:rFonts w:ascii="Times New Roman" w:hAnsi="Times New Roman" w:cs="Times New Roman"/>
          <w:sz w:val="24"/>
          <w:szCs w:val="24"/>
          <w:lang w:val="en-US"/>
        </w:rPr>
        <w:t>MoM</w:t>
      </w:r>
      <w:r w:rsidR="001C328F">
        <w:rPr>
          <w:rFonts w:ascii="Times New Roman" w:hAnsi="Times New Roman" w:cs="Times New Roman"/>
          <w:sz w:val="24"/>
          <w:szCs w:val="24"/>
        </w:rPr>
        <w:t>)</w:t>
      </w:r>
      <w:r w:rsidR="001C328F" w:rsidRPr="001C328F">
        <w:rPr>
          <w:rFonts w:ascii="Times New Roman" w:hAnsi="Times New Roman" w:cs="Times New Roman"/>
          <w:sz w:val="24"/>
          <w:szCs w:val="24"/>
        </w:rPr>
        <w:t>.</w:t>
      </w:r>
      <w:r w:rsidR="00341D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C62AB" w14:textId="2F726944" w:rsidR="00E47E10" w:rsidRDefault="00E47E10" w:rsidP="00E47E10">
      <w:pPr>
        <w:shd w:val="clear" w:color="auto" w:fill="FFFFFF"/>
        <w:ind w:firstLine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Рассматривается идеально проводящая пластина, электромагнитного поля в промежуточной зоне я ведется по найденным токам на поверхности </w:t>
      </w:r>
    </w:p>
    <w:p w14:paraId="00000007" w14:textId="54AA174B" w:rsidR="00014B76" w:rsidRDefault="005D09C1">
      <w:pPr>
        <w:shd w:val="clear" w:color="auto" w:fill="FFFFFF"/>
        <w:ind w:firstLine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Самым трудоемким процессом является вычисление векторных потенциалов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А</m:t>
            </m:r>
          </m:e>
          <m:sup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э, м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,где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А</m:t>
            </m:r>
          </m:e>
          <m:sup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э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- потенциал электрического поля и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А</m:t>
            </m:r>
          </m:e>
          <m:sup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м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>- потенциал магнитного поля</w:t>
      </w:r>
      <w:r w:rsidR="001C328F">
        <w:rPr>
          <w:rFonts w:ascii="Times New Roman" w:eastAsia="Times New Roman" w:hAnsi="Times New Roman" w:cs="Times New Roman"/>
          <w:sz w:val="24"/>
          <w:szCs w:val="24"/>
        </w:rPr>
        <w:t>, сами потенциалы рассчитываются приближенно, использ</w:t>
      </w:r>
      <w:r w:rsidR="00341D60">
        <w:rPr>
          <w:rFonts w:ascii="Times New Roman" w:eastAsia="Times New Roman" w:hAnsi="Times New Roman" w:cs="Times New Roman"/>
          <w:sz w:val="24"/>
          <w:szCs w:val="24"/>
        </w:rPr>
        <w:t>уется только</w:t>
      </w:r>
      <w:r w:rsidR="001C328F">
        <w:rPr>
          <w:rFonts w:ascii="Times New Roman" w:eastAsia="Times New Roman" w:hAnsi="Times New Roman" w:cs="Times New Roman"/>
          <w:sz w:val="24"/>
          <w:szCs w:val="24"/>
        </w:rPr>
        <w:t xml:space="preserve"> два слагаемых</w:t>
      </w:r>
      <w:r w:rsidR="00341D60">
        <w:rPr>
          <w:rFonts w:ascii="Times New Roman" w:eastAsia="Times New Roman" w:hAnsi="Times New Roman" w:cs="Times New Roman"/>
          <w:sz w:val="24"/>
          <w:szCs w:val="24"/>
        </w:rPr>
        <w:t>, получаемых</w:t>
      </w:r>
      <w:r w:rsidR="001C328F">
        <w:rPr>
          <w:rFonts w:ascii="Times New Roman" w:eastAsia="Times New Roman" w:hAnsi="Times New Roman" w:cs="Times New Roman"/>
          <w:sz w:val="24"/>
          <w:szCs w:val="24"/>
        </w:rPr>
        <w:t xml:space="preserve"> из разложения </w:t>
      </w:r>
      <w:r w:rsidR="00341D60">
        <w:rPr>
          <w:rFonts w:ascii="Times New Roman" w:eastAsia="Times New Roman" w:hAnsi="Times New Roman" w:cs="Times New Roman"/>
          <w:sz w:val="24"/>
          <w:szCs w:val="24"/>
        </w:rPr>
        <w:t xml:space="preserve">потенциала </w:t>
      </w:r>
      <w:r w:rsidR="001C328F">
        <w:rPr>
          <w:rFonts w:ascii="Times New Roman" w:eastAsia="Times New Roman" w:hAnsi="Times New Roman" w:cs="Times New Roman"/>
          <w:sz w:val="24"/>
          <w:szCs w:val="24"/>
        </w:rPr>
        <w:t>в ряд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8" w14:textId="77777777" w:rsidR="00014B76" w:rsidRDefault="00014B76">
      <w:pPr>
        <w:shd w:val="clear" w:color="auto" w:fill="FFFFFF"/>
        <w:ind w:firstLine="4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014B76" w:rsidRDefault="005477F1">
      <w:pPr>
        <w:shd w:val="clear" w:color="auto" w:fill="FFFFFF"/>
        <w:ind w:firstLine="405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Sup>
            <m:sSubSup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sSubSupPr>
            <m:e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френ</m:t>
              </m:r>
            </m:sub>
            <m:sup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э, м</m:t>
              </m:r>
            </m:sup>
          </m:sSubSup>
          <m:r>
            <w:rPr>
              <w:rFonts w:ascii="Times New Roman" w:eastAsia="Times New Roman" w:hAnsi="Times New Roman" w:cs="Times New Roman"/>
              <w:sz w:val="24"/>
              <w:szCs w:val="24"/>
            </w:rPr>
            <m:t>(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R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 xml:space="preserve">, 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θ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 xml:space="preserve">, 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φ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)=</m:t>
          </m:r>
          <m:f>
            <m:f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exp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(-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ikR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4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πR</m:t>
              </m:r>
            </m:den>
          </m:f>
          <m:nary>
            <m:nary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naryPr>
            <m:sub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S</m:t>
              </m:r>
            </m:sub>
            <m:sup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j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э, м</m:t>
                  </m:r>
                </m:sup>
              </m:sSup>
            </m:e>
          </m:nary>
          <m:r>
            <w:rPr>
              <w:rFonts w:ascii="Times New Roman" w:eastAsia="Times New Roman" w:hAnsi="Times New Roman" w:cs="Times New Roman"/>
              <w:sz w:val="24"/>
              <w:szCs w:val="24"/>
            </w:rPr>
            <m:t>(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x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 xml:space="preserve">', 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y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')×</m:t>
          </m:r>
        </m:oMath>
      </m:oMathPara>
    </w:p>
    <w:p w14:paraId="0000000A" w14:textId="77777777" w:rsidR="00014B76" w:rsidRDefault="005D09C1">
      <w:pPr>
        <w:shd w:val="clear" w:color="auto" w:fill="FFFFFF"/>
        <w:ind w:firstLine="405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/>
            </w:rPr>
            <m:t>×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exp{ik[R'cosα-</m:t>
          </m:r>
          <m:f>
            <m:f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R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'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 xml:space="preserve"> 2</m:t>
                  </m:r>
                </m:sup>
              </m:sSup>
            </m:num>
            <m:den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2R</m:t>
              </m:r>
            </m:den>
          </m:f>
          <m:r>
            <w:rPr>
              <w:rFonts w:ascii="Times New Roman" w:eastAsia="Times New Roman" w:hAnsi="Times New Roman" w:cs="Times New Roman"/>
              <w:sz w:val="24"/>
              <w:szCs w:val="24"/>
            </w:rPr>
            <m:t>(1-co</m:t>
          </m:r>
          <m:sSup>
            <m:sSup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sSupPr>
            <m:e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s</m:t>
              </m:r>
            </m:e>
            <m:sup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Times New Roman" w:eastAsia="Times New Roman" w:hAnsi="Times New Roman" w:cs="Times New Roman"/>
              <w:sz w:val="24"/>
              <w:szCs w:val="24"/>
            </w:rPr>
            <m:t>α)]}dS</m:t>
          </m:r>
        </m:oMath>
      </m:oMathPara>
    </w:p>
    <w:p w14:paraId="0000000B" w14:textId="77777777" w:rsidR="00014B76" w:rsidRDefault="00014B76">
      <w:pPr>
        <w:shd w:val="clear" w:color="auto" w:fill="FFFFFF"/>
        <w:ind w:firstLine="40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014B76" w:rsidRDefault="005D09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Здесь R - расстояние от начала цилиндрических координат координат (в точке с нулевым значением радиуса) до точки наблюдения, R’ - расстояние от начала координат до точки интегрирования,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j</m:t>
            </m:r>
          </m:e>
          <m:sup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э, м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- токи в пластинке, </w:t>
      </w:r>
      <m:oMath>
        <m:r>
          <w:rPr>
            <w:rFonts w:ascii="Cambria Math" w:hAnsi="Cambria Math"/>
          </w:rPr>
          <m:t>α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- угол между векторами R и R’, а S - площадь, занимаемая токами внутри пластины.</w:t>
      </w:r>
    </w:p>
    <w:p w14:paraId="0000000D" w14:textId="68F1B242" w:rsidR="00014B76" w:rsidRDefault="005D09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В цилиндрической системе координат компоненты электромагнитного поля </w:t>
      </w:r>
      <w:r w:rsidR="00341D60">
        <w:rPr>
          <w:rFonts w:ascii="Times New Roman" w:eastAsia="Times New Roman" w:hAnsi="Times New Roman" w:cs="Times New Roman"/>
          <w:sz w:val="24"/>
          <w:szCs w:val="24"/>
        </w:rPr>
        <w:t>будут иметь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следующий вид:</w:t>
      </w:r>
    </w:p>
    <w:p w14:paraId="0000000E" w14:textId="77777777" w:rsidR="00014B76" w:rsidRDefault="00014B7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014B76" w:rsidRDefault="005477F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Θ</m:t>
              </m:r>
            </m:sub>
          </m:sSub>
          <m:r>
            <w:rPr>
              <w:rFonts w:ascii="Times New Roman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i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λ</m:t>
              </m:r>
            </m:den>
          </m:f>
          <m:r>
            <w:rPr>
              <w:rFonts w:ascii="Times New Roman" w:eastAsia="Times New Roman" w:hAnsi="Times New Roman" w:cs="Times New Roman"/>
              <w:sz w:val="24"/>
              <w:szCs w:val="24"/>
            </w:rPr>
            <m:t>W</m:t>
          </m:r>
          <m:sSubSup>
            <m:sSubSup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sSubSupPr>
            <m:e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θ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френ</m:t>
              </m:r>
            </m:sub>
            <m:sup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э</m:t>
              </m:r>
            </m:sup>
          </m:sSubSup>
          <m:r>
            <w:rPr>
              <w:rFonts w:ascii="Times New Roman" w:eastAsia="Times New Roman" w:hAnsi="Times New Roman" w:cs="Times New Roman"/>
              <w:sz w:val="24"/>
              <w:szCs w:val="24"/>
            </w:rPr>
            <m:t xml:space="preserve">,     </m:t>
          </m:r>
          <m:sSub>
            <m:sSub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φ</m:t>
              </m:r>
            </m:sub>
          </m:sSub>
          <m:r>
            <w:rPr>
              <w:rFonts w:ascii="Times New Roman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θ</m:t>
                  </m:r>
                </m:sub>
              </m:sSub>
            </m:num>
            <m:den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W</m:t>
              </m:r>
            </m:den>
          </m:f>
        </m:oMath>
      </m:oMathPara>
    </w:p>
    <w:p w14:paraId="00000010" w14:textId="77777777" w:rsidR="00014B76" w:rsidRDefault="005477F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φ</m:t>
              </m:r>
            </m:sub>
          </m:sSub>
          <m:r>
            <w:rPr>
              <w:rFonts w:ascii="Times New Roman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i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λ</m:t>
              </m:r>
            </m:den>
          </m:f>
          <m:r>
            <w:rPr>
              <w:rFonts w:ascii="Times New Roman" w:eastAsia="Times New Roman" w:hAnsi="Times New Roman" w:cs="Times New Roman"/>
              <w:sz w:val="24"/>
              <w:szCs w:val="24"/>
            </w:rPr>
            <m:t>W</m:t>
          </m:r>
          <m:sSubSup>
            <m:sSubSup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sSubSupPr>
            <m:e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φ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френ</m:t>
              </m:r>
            </m:sub>
            <m:sup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э</m:t>
              </m:r>
            </m:sup>
          </m:sSubSup>
          <m:r>
            <w:rPr>
              <w:rFonts w:ascii="Times New Roman" w:eastAsia="Times New Roman" w:hAnsi="Times New Roman" w:cs="Times New Roman"/>
              <w:sz w:val="24"/>
              <w:szCs w:val="24"/>
            </w:rPr>
            <m:t xml:space="preserve">,     </m:t>
          </m:r>
          <m:sSub>
            <m:sSub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H</m:t>
              </m:r>
            </m:e>
            <m:sub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θ</m:t>
              </m:r>
            </m:sub>
          </m:sSub>
          <m:r>
            <w:rPr>
              <w:rFonts w:ascii="Times New Roman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φ</m:t>
                  </m:r>
                </m:sub>
              </m:sSub>
            </m:num>
            <m:den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W</m:t>
              </m:r>
            </m:den>
          </m:f>
        </m:oMath>
      </m:oMathPara>
    </w:p>
    <w:p w14:paraId="00000011" w14:textId="77777777" w:rsidR="00014B76" w:rsidRDefault="005D09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E</m:t>
            </m:r>
          </m:e>
          <m:sub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R</m:t>
            </m:r>
          </m:sub>
        </m:sSub>
        <m:r>
          <w:rPr>
            <w:rFonts w:ascii="Times New Roman" w:eastAsia="Times New Roman" w:hAnsi="Times New Roman" w:cs="Times New Roman"/>
            <w:sz w:val="24"/>
            <w:szCs w:val="24"/>
          </w:rPr>
          <m:t xml:space="preserve">=0,                    </m:t>
        </m:r>
        <m:sSub>
          <m:sSub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 xml:space="preserve">      H</m:t>
            </m:r>
          </m:e>
          <m:sub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R</m:t>
            </m:r>
          </m:sub>
        </m:sSub>
        <m:r>
          <w:rPr>
            <w:rFonts w:ascii="Times New Roman" w:eastAsia="Times New Roman" w:hAnsi="Times New Roman" w:cs="Times New Roman"/>
            <w:sz w:val="24"/>
            <w:szCs w:val="24"/>
          </w:rPr>
          <m:t xml:space="preserve">=0         </m:t>
        </m:r>
      </m:oMath>
    </w:p>
    <w:p w14:paraId="00000012" w14:textId="77777777" w:rsidR="00014B76" w:rsidRDefault="00014B7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014B76" w:rsidRDefault="005D09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где W - волновое сопротивление среды, </w:t>
      </w:r>
      <m:oMath>
        <m:r>
          <w:rPr>
            <w:rFonts w:ascii="Cambria Math" w:hAnsi="Cambria Math"/>
          </w:rPr>
          <m:t>λ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- длина волны.</w:t>
      </w:r>
    </w:p>
    <w:p w14:paraId="5AEFD034" w14:textId="77777777" w:rsidR="00D02A56" w:rsidRDefault="005D09C1" w:rsidP="00341D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68E04D62" w14:textId="54D9DB46" w:rsidR="00D02A56" w:rsidRDefault="00D02A56" w:rsidP="00D02A56">
      <w:pPr>
        <w:pStyle w:val="afe"/>
      </w:pPr>
      <w:r>
        <w:rPr>
          <w:noProof/>
        </w:rPr>
        <w:lastRenderedPageBreak/>
        <w:drawing>
          <wp:inline distT="0" distB="0" distL="0" distR="0" wp14:anchorId="49C7763B" wp14:editId="48CC997A">
            <wp:extent cx="5733415" cy="39897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98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417EA" w14:textId="77777777" w:rsidR="00D02A56" w:rsidRDefault="00D02A56" w:rsidP="00341D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EDA0E" w14:textId="7FC4C8E5" w:rsidR="00341D60" w:rsidRDefault="005D09C1" w:rsidP="00341D60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D60" w:rsidRPr="00AE497F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 проверки результатов выполня</w:t>
      </w:r>
      <w:r w:rsidR="00341D60">
        <w:rPr>
          <w:rFonts w:ascii="Times New Roman" w:eastAsiaTheme="minorEastAsia" w:hAnsi="Times New Roman" w:cs="Times New Roman"/>
          <w:color w:val="000000"/>
          <w:sz w:val="24"/>
          <w:szCs w:val="24"/>
        </w:rPr>
        <w:t>ется</w:t>
      </w:r>
      <w:r w:rsidR="00341D60" w:rsidRPr="00AE497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моделирование аналогичной задачи в программном комплексе </w:t>
      </w:r>
      <w:r w:rsidR="00341D60" w:rsidRPr="00AE497F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Altair</w:t>
      </w:r>
      <w:r w:rsidR="00341D60" w:rsidRPr="00AE497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341D60" w:rsidRPr="00AE497F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FEKO</w:t>
      </w:r>
      <w:r w:rsidR="00D02A56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(сравнение представлено на графике)</w:t>
      </w:r>
      <w:r w:rsidR="00341D60" w:rsidRPr="00AE497F">
        <w:rPr>
          <w:rFonts w:ascii="Times New Roman" w:eastAsiaTheme="minorEastAsia" w:hAnsi="Times New Roman" w:cs="Times New Roman"/>
          <w:color w:val="000000"/>
          <w:sz w:val="24"/>
          <w:szCs w:val="24"/>
        </w:rPr>
        <w:t>. В расчёте использ</w:t>
      </w:r>
      <w:r w:rsidR="00341D60">
        <w:rPr>
          <w:rFonts w:ascii="Times New Roman" w:eastAsiaTheme="minorEastAsia" w:hAnsi="Times New Roman" w:cs="Times New Roman"/>
          <w:color w:val="000000"/>
          <w:sz w:val="24"/>
          <w:szCs w:val="24"/>
        </w:rPr>
        <w:t>уется</w:t>
      </w:r>
      <w:r w:rsidR="00341D60" w:rsidRPr="00AE497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метод моментов (</w:t>
      </w:r>
      <w:r w:rsidR="00341D60" w:rsidRPr="00AE497F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MoM</w:t>
      </w:r>
      <w:r w:rsidR="00341D60" w:rsidRPr="00AE497F">
        <w:rPr>
          <w:rFonts w:ascii="Times New Roman" w:eastAsiaTheme="minorEastAsia" w:hAnsi="Times New Roman" w:cs="Times New Roman"/>
          <w:color w:val="000000"/>
          <w:sz w:val="24"/>
          <w:szCs w:val="24"/>
        </w:rPr>
        <w:t>), обеспечивающий точное решение</w:t>
      </w:r>
      <w:r w:rsidR="00341D60" w:rsidRPr="00AA50B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интегральных уравнений электродинамики без приближений МФО.</w:t>
      </w:r>
    </w:p>
    <w:p w14:paraId="6D9040AB" w14:textId="77777777" w:rsidR="00341D60" w:rsidRDefault="00341D60" w:rsidP="00341D60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00000017" w14:textId="5649F030" w:rsidR="00014B76" w:rsidRDefault="005D09C1" w:rsidP="00341D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18" w14:textId="77777777" w:rsidR="00014B76" w:rsidRDefault="005D09C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Марков Г. Т., Сазонов Д. М., “Антенны”, Изд. 2-е, перераб. и доп. М., “Энергия”, 1975</w:t>
      </w:r>
    </w:p>
    <w:p w14:paraId="00000019" w14:textId="66EAAF27" w:rsidR="00014B76" w:rsidRDefault="005D09C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Sadasiva M. Rao, Donald R. Wilton, Allen W. Glisson, “Electromagnetic Scattering by Surfaces of Arbitrary Shape” // IEEE TRANSACTIONS ON ANTENNAS AND PROPAGATION, VOL.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AP-30, NO. 3, 1982, p. 10 </w:t>
      </w:r>
    </w:p>
    <w:p w14:paraId="5F406FC5" w14:textId="1E472978" w:rsidR="00D02A56" w:rsidRPr="00D02A56" w:rsidRDefault="00D02A56" w:rsidP="00D02A56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56">
        <w:rPr>
          <w:rFonts w:ascii="Times New Roman" w:hAnsi="Times New Roman" w:cs="Times New Roman"/>
          <w:sz w:val="24"/>
          <w:szCs w:val="24"/>
        </w:rPr>
        <w:t xml:space="preserve">Вайнштейн Л.А. Электромагнитные волны. — М.: Советское радио, 1957. — 572 с. </w:t>
      </w:r>
    </w:p>
    <w:p w14:paraId="544E69DF" w14:textId="2A094147" w:rsidR="00D02A56" w:rsidRDefault="00D02A56" w:rsidP="00D02A5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02A56">
      <w:pgSz w:w="11909" w:h="16834"/>
      <w:pgMar w:top="1440" w:right="1440" w:bottom="1440" w:left="1440" w:header="1133" w:footer="11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14B84"/>
    <w:multiLevelType w:val="multilevel"/>
    <w:tmpl w:val="A0E27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BB"/>
    <w:rsid w:val="00014B76"/>
    <w:rsid w:val="001C328F"/>
    <w:rsid w:val="00341D60"/>
    <w:rsid w:val="003C27BB"/>
    <w:rsid w:val="005477F1"/>
    <w:rsid w:val="005D09C1"/>
    <w:rsid w:val="006419E1"/>
    <w:rsid w:val="00D02A56"/>
    <w:rsid w:val="00DF0370"/>
    <w:rsid w:val="00E4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FA9A"/>
  <w15:docId w15:val="{59106E09-FE4B-4540-863A-E2F75B79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uiPriority w:val="19"/>
    <w:qFormat/>
    <w:rPr>
      <w:i/>
      <w:iCs/>
      <w:color w:val="808080" w:themeColor="text1" w:themeTint="7F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7">
    <w:name w:val="Strong"/>
    <w:uiPriority w:val="22"/>
    <w:qFormat/>
    <w:rPr>
      <w:b/>
      <w:bCs/>
    </w:rPr>
  </w:style>
  <w:style w:type="paragraph" w:styleId="20">
    <w:name w:val="Quote"/>
    <w:link w:val="21"/>
    <w:uiPriority w:val="29"/>
    <w:qFormat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link w:val="a8"/>
    <w:uiPriority w:val="30"/>
    <w:rPr>
      <w:b/>
      <w:bCs/>
      <w:i/>
      <w:iCs/>
      <w:color w:val="4F81BD" w:themeColor="accent1"/>
    </w:rPr>
  </w:style>
  <w:style w:type="character" w:styleId="aa">
    <w:name w:val="Subtle Reference"/>
    <w:uiPriority w:val="31"/>
    <w:qFormat/>
    <w:rPr>
      <w:smallCaps/>
      <w:color w:val="C0504D" w:themeColor="accent2"/>
      <w:u w:val="single"/>
    </w:rPr>
  </w:style>
  <w:style w:type="character" w:styleId="ab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uiPriority w:val="33"/>
    <w:qFormat/>
    <w:rPr>
      <w:b/>
      <w:bCs/>
      <w:smallCaps/>
      <w:spacing w:val="5"/>
    </w:rPr>
  </w:style>
  <w:style w:type="paragraph" w:styleId="ad">
    <w:name w:val="List Paragraph"/>
    <w:uiPriority w:val="34"/>
    <w:qFormat/>
    <w:pPr>
      <w:ind w:left="720"/>
      <w:contextualSpacing/>
    </w:pPr>
  </w:style>
  <w:style w:type="paragraph" w:styleId="ae">
    <w:name w:val="footnote text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Pr>
      <w:sz w:val="20"/>
      <w:szCs w:val="20"/>
    </w:rPr>
  </w:style>
  <w:style w:type="character" w:styleId="af0">
    <w:name w:val="footnote reference"/>
    <w:uiPriority w:val="99"/>
    <w:semiHidden/>
    <w:unhideWhenUsed/>
    <w:rPr>
      <w:vertAlign w:val="superscript"/>
    </w:rPr>
  </w:style>
  <w:style w:type="paragraph" w:styleId="af1">
    <w:name w:val="endnote text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Pr>
      <w:sz w:val="20"/>
      <w:szCs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character" w:styleId="af4">
    <w:name w:val="Hyperlink"/>
    <w:uiPriority w:val="99"/>
    <w:unhideWhenUsed/>
    <w:rPr>
      <w:color w:val="0000FF" w:themeColor="hyperlink"/>
      <w:u w:val="single"/>
    </w:rPr>
  </w:style>
  <w:style w:type="paragraph" w:styleId="af5">
    <w:name w:val="Plain Text"/>
    <w:link w:val="af6"/>
    <w:uiPriority w:val="99"/>
    <w:semiHidden/>
    <w:unhideWhenUsed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link w:val="af5"/>
    <w:uiPriority w:val="99"/>
    <w:rPr>
      <w:rFonts w:ascii="Courier New" w:hAnsi="Courier New" w:cs="Courier New"/>
      <w:sz w:val="21"/>
      <w:szCs w:val="21"/>
    </w:rPr>
  </w:style>
  <w:style w:type="paragraph" w:styleId="af7">
    <w:name w:val="header"/>
    <w:link w:val="af8"/>
    <w:uiPriority w:val="99"/>
    <w:unhideWhenUsed/>
    <w:pPr>
      <w:spacing w:line="240" w:lineRule="auto"/>
    </w:pPr>
  </w:style>
  <w:style w:type="character" w:customStyle="1" w:styleId="af8">
    <w:name w:val="Верхний колонтитул Знак"/>
    <w:link w:val="af7"/>
    <w:uiPriority w:val="99"/>
  </w:style>
  <w:style w:type="paragraph" w:styleId="af9">
    <w:name w:val="footer"/>
    <w:link w:val="afa"/>
    <w:uiPriority w:val="99"/>
    <w:unhideWhenUsed/>
    <w:pPr>
      <w:spacing w:line="240" w:lineRule="auto"/>
    </w:pPr>
  </w:style>
  <w:style w:type="character" w:customStyle="1" w:styleId="afa">
    <w:name w:val="Нижний колонтитул Знак"/>
    <w:link w:val="af9"/>
    <w:uiPriority w:val="99"/>
  </w:style>
  <w:style w:type="paragraph" w:styleId="afb">
    <w:name w:val="caption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fd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e">
    <w:name w:val="Normal (Web)"/>
    <w:basedOn w:val="a"/>
    <w:uiPriority w:val="99"/>
    <w:semiHidden/>
    <w:unhideWhenUsed/>
    <w:rsid w:val="00D0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Артемий Жиров</cp:lastModifiedBy>
  <cp:revision>2</cp:revision>
  <dcterms:created xsi:type="dcterms:W3CDTF">2026-03-02T20:22:00Z</dcterms:created>
  <dcterms:modified xsi:type="dcterms:W3CDTF">2026-03-02T20:22:00Z</dcterms:modified>
</cp:coreProperties>
</file>