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09EE" w14:textId="623DB094" w:rsidR="00225D5E" w:rsidRPr="00DB5F52" w:rsidRDefault="00225D5E" w:rsidP="00DB5F52">
      <w:pPr>
        <w:ind w:left="397"/>
        <w:jc w:val="center"/>
        <w:rPr>
          <w:b/>
          <w:lang w:val="en-US"/>
        </w:rPr>
      </w:pPr>
      <w:r w:rsidRPr="00225D5E">
        <w:rPr>
          <w:b/>
        </w:rPr>
        <w:t xml:space="preserve">Моделирование фазовых переходов липидного </w:t>
      </w:r>
      <w:proofErr w:type="spellStart"/>
      <w:r w:rsidRPr="00225D5E">
        <w:rPr>
          <w:b/>
        </w:rPr>
        <w:t>бислоя</w:t>
      </w:r>
      <w:proofErr w:type="spellEnd"/>
      <w:r w:rsidRPr="00225D5E">
        <w:rPr>
          <w:b/>
        </w:rPr>
        <w:t xml:space="preserve"> методом Монте-Карл</w:t>
      </w:r>
      <w:r w:rsidR="00DB5F52">
        <w:rPr>
          <w:b/>
        </w:rPr>
        <w:t>о</w:t>
      </w:r>
    </w:p>
    <w:p w14:paraId="4CEA1A6D" w14:textId="07558235" w:rsidR="00722E50" w:rsidRPr="00DB5F52" w:rsidRDefault="00225D5E" w:rsidP="00722E50">
      <w:pPr>
        <w:jc w:val="center"/>
        <w:rPr>
          <w:b/>
          <w:i/>
        </w:rPr>
      </w:pPr>
      <w:r w:rsidRPr="00225D5E">
        <w:rPr>
          <w:b/>
          <w:i/>
        </w:rPr>
        <w:t>Дорожкин Д.А</w:t>
      </w:r>
      <w:r w:rsidR="00722E50" w:rsidRPr="00225D5E">
        <w:rPr>
          <w:b/>
          <w:i/>
        </w:rPr>
        <w:t>.</w:t>
      </w:r>
    </w:p>
    <w:p w14:paraId="4C04B6F1" w14:textId="0DBC3115" w:rsidR="00722E50" w:rsidRPr="00225D5E" w:rsidRDefault="00225D5E" w:rsidP="00722E50">
      <w:pPr>
        <w:jc w:val="center"/>
        <w:rPr>
          <w:i/>
        </w:rPr>
      </w:pPr>
      <w:r w:rsidRPr="00225D5E">
        <w:rPr>
          <w:i/>
        </w:rPr>
        <w:t>специалист</w:t>
      </w:r>
      <w:r w:rsidR="00722E50" w:rsidRPr="00225D5E">
        <w:rPr>
          <w:i/>
        </w:rPr>
        <w:t>, студент</w:t>
      </w:r>
    </w:p>
    <w:p w14:paraId="6BEB123E" w14:textId="79EE70C1" w:rsidR="00722E50" w:rsidRPr="00225D5E" w:rsidRDefault="00722E50" w:rsidP="00722E50">
      <w:pPr>
        <w:jc w:val="center"/>
        <w:rPr>
          <w:i/>
        </w:rPr>
      </w:pPr>
      <w:r w:rsidRPr="00225D5E">
        <w:rPr>
          <w:i/>
        </w:rPr>
        <w:t xml:space="preserve">МГУ имени </w:t>
      </w:r>
      <w:proofErr w:type="spellStart"/>
      <w:r w:rsidRPr="00225D5E">
        <w:rPr>
          <w:i/>
        </w:rPr>
        <w:t>М.В.Ломоносова</w:t>
      </w:r>
      <w:proofErr w:type="spellEnd"/>
      <w:r w:rsidR="00647046">
        <w:rPr>
          <w:i/>
        </w:rPr>
        <w:t>, физический факультет</w:t>
      </w:r>
    </w:p>
    <w:p w14:paraId="3427B46F" w14:textId="3892A755" w:rsidR="00722E50" w:rsidRPr="00225D5E" w:rsidRDefault="00722E50" w:rsidP="00722E50">
      <w:pPr>
        <w:jc w:val="center"/>
        <w:rPr>
          <w:i/>
        </w:rPr>
      </w:pPr>
      <w:r w:rsidRPr="00225D5E">
        <w:rPr>
          <w:i/>
        </w:rPr>
        <w:t>г. </w:t>
      </w:r>
      <w:r w:rsidR="00225D5E" w:rsidRPr="00225D5E">
        <w:rPr>
          <w:i/>
        </w:rPr>
        <w:t>Москва</w:t>
      </w:r>
      <w:r w:rsidRPr="00225D5E">
        <w:rPr>
          <w:i/>
        </w:rPr>
        <w:t>,</w:t>
      </w:r>
      <w:r w:rsidR="00225D5E" w:rsidRPr="00225D5E">
        <w:rPr>
          <w:i/>
        </w:rPr>
        <w:t xml:space="preserve"> Россия</w:t>
      </w:r>
    </w:p>
    <w:p w14:paraId="7241CCFB" w14:textId="1203BF2F" w:rsidR="00722E50" w:rsidRPr="00225D5E" w:rsidRDefault="00647046" w:rsidP="00722E50">
      <w:pPr>
        <w:jc w:val="center"/>
        <w:rPr>
          <w:i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 xml:space="preserve">: </w:t>
      </w:r>
      <w:proofErr w:type="spellStart"/>
      <w:r w:rsidR="00225D5E" w:rsidRPr="00225D5E">
        <w:rPr>
          <w:i/>
          <w:lang w:val="en-US"/>
        </w:rPr>
        <w:t>daniildd</w:t>
      </w:r>
      <w:proofErr w:type="spellEnd"/>
      <w:r w:rsidR="00225D5E" w:rsidRPr="00225D5E">
        <w:rPr>
          <w:i/>
        </w:rPr>
        <w:t>222@</w:t>
      </w:r>
      <w:proofErr w:type="spellStart"/>
      <w:r w:rsidR="00225D5E" w:rsidRPr="00225D5E">
        <w:rPr>
          <w:i/>
          <w:lang w:val="en-US"/>
        </w:rPr>
        <w:t>gmail</w:t>
      </w:r>
      <w:proofErr w:type="spellEnd"/>
      <w:r w:rsidR="00225D5E" w:rsidRPr="00225D5E">
        <w:rPr>
          <w:i/>
        </w:rPr>
        <w:t>.</w:t>
      </w:r>
      <w:r w:rsidR="00225D5E" w:rsidRPr="00225D5E">
        <w:rPr>
          <w:i/>
          <w:lang w:val="en-US"/>
        </w:rPr>
        <w:t>com</w:t>
      </w:r>
    </w:p>
    <w:p w14:paraId="2D12A4AB" w14:textId="77777777" w:rsidR="00225D5E" w:rsidRPr="00225D5E" w:rsidRDefault="00225D5E" w:rsidP="000F0911">
      <w:pPr>
        <w:ind w:left="709" w:firstLine="284"/>
        <w:jc w:val="both"/>
        <w:rPr>
          <w:b/>
          <w:lang w:val="kk-KZ"/>
        </w:rPr>
      </w:pPr>
    </w:p>
    <w:p w14:paraId="67745021" w14:textId="77777777" w:rsidR="009A0465" w:rsidRDefault="00225D5E" w:rsidP="000F0911">
      <w:pPr>
        <w:ind w:firstLine="397"/>
        <w:jc w:val="both"/>
        <w:rPr>
          <w:lang w:val="en-US"/>
        </w:rPr>
      </w:pPr>
      <w:r w:rsidRPr="00225D5E">
        <w:t xml:space="preserve">Устоявшийся подход к описанию электрических свойств мембран клеток основан исключительно на действии диффузии или специфических белков, относящихся к классу ионных каналов, а липидный </w:t>
      </w:r>
      <w:proofErr w:type="spellStart"/>
      <w:r w:rsidRPr="00225D5E">
        <w:t>бислой</w:t>
      </w:r>
      <w:proofErr w:type="spellEnd"/>
      <w:r w:rsidRPr="00225D5E">
        <w:t xml:space="preserve"> рассматривается в качестве инертного электрического изолятора и селективного барьера, обеспечивающего гомеостаз. Однако экспериментальные данные, полученные в последние десятилетия, указывают на важность термодинамического состояния мембраны как регулятора проводимости. Так, вблизи температуры фазового перехода из гелевой фазы в жидкокристаллическую синтетические модельные мембраны, не содержащие белковых структур, демонстрируют эффекты, ранее приписываемые исключительно белковым макромолекулам, как квантование тока или наличие состояний открытия [1]. </w:t>
      </w:r>
    </w:p>
    <w:p w14:paraId="6C9A1845" w14:textId="5274D74C" w:rsidR="009A0465" w:rsidRPr="009A0465" w:rsidRDefault="00225D5E" w:rsidP="000F0911">
      <w:pPr>
        <w:ind w:firstLine="397"/>
        <w:jc w:val="both"/>
      </w:pPr>
      <w:r w:rsidRPr="00225D5E">
        <w:t xml:space="preserve">В частности, вблизи температуры фазового перехода наблюдается аномальный рост теплоемкости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225D5E">
        <w:t xml:space="preserve">и изотермической сжимаемости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225D5E">
        <w:t>, что приводит к возникновению сквозных дефектов, чья проводимость пропорциональна колебаниям площади мембраны</w:t>
      </w:r>
    </w:p>
    <w:p w14:paraId="56A44CF3" w14:textId="781584F1" w:rsidR="009A0465" w:rsidRPr="009A0465" w:rsidRDefault="00225D5E" w:rsidP="000F0911">
      <w:pPr>
        <w:ind w:firstLine="397"/>
        <w:jc w:val="both"/>
      </w:pPr>
      <w:r w:rsidRPr="00225D5E">
        <w:t xml:space="preserve">Понимание механизмов образования липидных пор и резервного механизма клеточного транспорта необходимо для корректной интерпретации электрофизиологических данных и изучения процессов дестабилизации мембран при внешних воздействиях, работ по изучению действия неспецифических лекарственных препаратов и </w:t>
      </w:r>
      <w:proofErr w:type="spellStart"/>
      <w:r w:rsidRPr="00225D5E">
        <w:t>анастетиков</w:t>
      </w:r>
      <w:proofErr w:type="spellEnd"/>
      <w:r w:rsidRPr="00225D5E">
        <w:t xml:space="preserve">, </w:t>
      </w:r>
      <w:proofErr w:type="spellStart"/>
      <w:r w:rsidRPr="00225D5E">
        <w:t>гомеовискозной</w:t>
      </w:r>
      <w:proofErr w:type="spellEnd"/>
      <w:r w:rsidRPr="00225D5E">
        <w:t xml:space="preserve"> адаптации, нервных импульсов или создания безбелковых датчиков, </w:t>
      </w:r>
      <w:proofErr w:type="spellStart"/>
      <w:r w:rsidRPr="00225D5E">
        <w:t>работащих</w:t>
      </w:r>
      <w:proofErr w:type="spellEnd"/>
      <w:r w:rsidRPr="00225D5E">
        <w:t xml:space="preserve"> без затрат энергии [</w:t>
      </w:r>
      <w:r w:rsidR="00647046">
        <w:t>4</w:t>
      </w:r>
      <w:r w:rsidRPr="00225D5E">
        <w:t xml:space="preserve">].  </w:t>
      </w:r>
    </w:p>
    <w:p w14:paraId="4AD5FD93" w14:textId="62AB09D0" w:rsidR="009A0465" w:rsidRPr="009A0465" w:rsidRDefault="00225D5E" w:rsidP="000F0911">
      <w:pPr>
        <w:ind w:firstLine="397"/>
        <w:jc w:val="both"/>
      </w:pPr>
      <w:r w:rsidRPr="00225D5E">
        <w:rPr>
          <w:b/>
          <w:bCs/>
          <w:color w:val="0D0D0D" w:themeColor="text1" w:themeTint="F2"/>
        </w:rPr>
        <w:t>Цель работы:</w:t>
      </w:r>
      <w:r w:rsidRPr="00225D5E">
        <w:rPr>
          <w:color w:val="0D0D0D" w:themeColor="text1" w:themeTint="F2"/>
        </w:rPr>
        <w:t xml:space="preserve"> </w:t>
      </w:r>
      <w:r w:rsidRPr="00225D5E">
        <w:rPr>
          <w:color w:val="0D0D0D" w:themeColor="text1" w:themeTint="F2"/>
        </w:rPr>
        <w:t>и</w:t>
      </w:r>
      <w:r w:rsidRPr="00225D5E">
        <w:rPr>
          <w:color w:val="0D0D0D" w:themeColor="text1" w:themeTint="F2"/>
        </w:rPr>
        <w:t xml:space="preserve">зучение механизмов спонтанной проводимости клеточных мембран и моделирование процессов формирования липидных пор при фазовых переходах. </w:t>
      </w:r>
    </w:p>
    <w:p w14:paraId="64DF173F" w14:textId="4413E8C7" w:rsidR="009A0465" w:rsidRPr="009A0465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</w:rPr>
      </w:pPr>
      <w:r w:rsidRPr="00225D5E">
        <w:rPr>
          <w:b/>
          <w:bCs/>
          <w:color w:val="0D0D0D" w:themeColor="text1" w:themeTint="F2"/>
        </w:rPr>
        <w:t>Задачи:</w:t>
      </w:r>
      <w:r w:rsidRPr="00225D5E">
        <w:rPr>
          <w:color w:val="0D0D0D" w:themeColor="text1" w:themeTint="F2"/>
        </w:rPr>
        <w:t xml:space="preserve"> р</w:t>
      </w:r>
      <w:r w:rsidRPr="00225D5E">
        <w:rPr>
          <w:color w:val="0D0D0D" w:themeColor="text1" w:themeTint="F2"/>
        </w:rPr>
        <w:t>азработка стохастической модели фазовых переходов, моделирование и изучение зависимостей физических параметров системы и поиск аномалий в их динамике</w:t>
      </w:r>
    </w:p>
    <w:p w14:paraId="47E73AA4" w14:textId="1FED122D" w:rsidR="00225D5E" w:rsidRPr="009A0465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</w:rPr>
      </w:pPr>
      <w:r w:rsidRPr="00225D5E">
        <w:rPr>
          <w:b/>
          <w:bCs/>
          <w:color w:val="0D0D0D" w:themeColor="text1" w:themeTint="F2"/>
        </w:rPr>
        <w:t>Используемые подходы</w:t>
      </w:r>
    </w:p>
    <w:p w14:paraId="2084FA9C" w14:textId="0C87B00E" w:rsidR="00225D5E" w:rsidRPr="00225D5E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</w:rPr>
      </w:pPr>
      <w:r w:rsidRPr="00225D5E">
        <w:rPr>
          <w:color w:val="0D0D0D" w:themeColor="text1" w:themeTint="F2"/>
        </w:rPr>
        <w:t xml:space="preserve">В работе были рассмотрены 3 ключевых механизма нарушения сплошности </w:t>
      </w:r>
      <w:proofErr w:type="spellStart"/>
      <w:r w:rsidRPr="00225D5E">
        <w:rPr>
          <w:color w:val="0D0D0D" w:themeColor="text1" w:themeTint="F2"/>
        </w:rPr>
        <w:t>бислоя</w:t>
      </w:r>
      <w:proofErr w:type="spellEnd"/>
      <w:r w:rsidRPr="00225D5E">
        <w:rPr>
          <w:color w:val="0D0D0D" w:themeColor="text1" w:themeTint="F2"/>
        </w:rPr>
        <w:t>: классический механический, основанный на балансе сил, модель электрического пробоя, основанным на снижении энергетического барьера внешним полем, и модель тепловых флуктуаций, основанная на статистической термодинамике [3].</w:t>
      </w:r>
    </w:p>
    <w:p w14:paraId="0C1647B2" w14:textId="77777777" w:rsidR="00DB5F52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  <w:lang w:val="en-US"/>
        </w:rPr>
      </w:pPr>
      <m:oMathPara>
        <m:oMath>
          <m:r>
            <w:rPr>
              <w:rFonts w:ascii="Cambria Math" w:hAnsi="Cambria Math"/>
              <w:color w:val="0D0D0D" w:themeColor="text1" w:themeTint="F2"/>
              <w:lang w:val="en-US"/>
            </w:rPr>
            <m:t>E</m:t>
          </m:r>
          <m:d>
            <m:dPr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dPr>
            <m:e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r</m:t>
              </m:r>
            </m:e>
          </m:d>
          <m:r>
            <w:rPr>
              <w:rFonts w:ascii="Cambria Math" w:hAnsi="Cambria Math"/>
              <w:color w:val="0D0D0D" w:themeColor="text1" w:themeTint="F2"/>
            </w:rPr>
            <m:t>=2</m:t>
          </m:r>
          <m:r>
            <w:rPr>
              <w:rFonts w:ascii="Cambria Math" w:hAnsi="Cambria Math"/>
              <w:color w:val="0D0D0D" w:themeColor="text1" w:themeTint="F2"/>
            </w:rPr>
            <m:t>π</m:t>
          </m:r>
          <m:r>
            <w:rPr>
              <w:rFonts w:ascii="Cambria Math" w:hAnsi="Cambria Math"/>
              <w:color w:val="0D0D0D" w:themeColor="text1" w:themeTint="F2"/>
            </w:rPr>
            <m:t>r</m:t>
          </m:r>
          <m:r>
            <w:rPr>
              <w:rFonts w:ascii="Cambria Math" w:hAnsi="Cambria Math"/>
              <w:color w:val="0D0D0D" w:themeColor="text1" w:themeTint="F2"/>
            </w:rPr>
            <m:t>γ</m:t>
          </m:r>
          <m:r>
            <w:rPr>
              <w:rFonts w:ascii="Cambria Math" w:hAnsi="Cambria Math"/>
              <w:color w:val="0D0D0D" w:themeColor="text1" w:themeTint="F2"/>
            </w:rPr>
            <m:t>-</m:t>
          </m:r>
          <m:r>
            <w:rPr>
              <w:rFonts w:ascii="Cambria Math" w:hAnsi="Cambria Math"/>
              <w:color w:val="0D0D0D" w:themeColor="text1" w:themeTint="F2"/>
            </w:rPr>
            <m:t>π</m:t>
          </m:r>
          <m:sSup>
            <m:sSupPr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sSupPr>
            <m:e>
              <m:r>
                <w:rPr>
                  <w:rFonts w:ascii="Cambria Math" w:hAnsi="Cambria Math"/>
                  <w:color w:val="0D0D0D" w:themeColor="text1" w:themeTint="F2"/>
                </w:rPr>
                <m:t>r</m:t>
              </m:r>
            </m:e>
            <m:sup>
              <m:r>
                <w:rPr>
                  <w:rFonts w:ascii="Cambria Math" w:hAnsi="Cambria Math"/>
                  <w:color w:val="0D0D0D" w:themeColor="text1" w:themeTint="F2"/>
                </w:rPr>
                <m:t>2</m:t>
              </m:r>
            </m:sup>
          </m:sSup>
          <m:r>
            <w:rPr>
              <w:rFonts w:ascii="Cambria Math" w:hAnsi="Cambria Math"/>
              <w:color w:val="0D0D0D" w:themeColor="text1" w:themeTint="F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D0D0D" w:themeColor="text1" w:themeTint="F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E</m:t>
              </m:r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e>
            <m:sub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el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D0D0D" w:themeColor="text1" w:themeTint="F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ϕ</m:t>
              </m:r>
            </m:e>
          </m:d>
          <m:r>
            <w:rPr>
              <w:rFonts w:ascii="Cambria Math" w:hAnsi="Cambria Math"/>
              <w:color w:val="0D0D0D" w:themeColor="text1" w:themeTint="F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D0D0D" w:themeColor="text1" w:themeTint="F2"/>
              <w:lang w:val="en-US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color w:val="0D0D0D" w:themeColor="text1" w:themeTint="F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fluc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D0D0D" w:themeColor="text1" w:themeTint="F2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D0D0D" w:themeColor="text1" w:themeTint="F2"/>
                  <w:lang w:val="en-US"/>
                </w:rPr>
                <m:t>T</m:t>
              </m:r>
            </m:e>
          </m:d>
        </m:oMath>
      </m:oMathPara>
    </w:p>
    <w:p w14:paraId="641C7BD5" w14:textId="386F226D" w:rsidR="00225D5E" w:rsidRPr="00DB5F52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</w:rPr>
      </w:pPr>
      <w:r w:rsidRPr="00225D5E">
        <w:rPr>
          <w:color w:val="0D0D0D" w:themeColor="text1" w:themeTint="F2"/>
        </w:rPr>
        <w:t xml:space="preserve">Благодаря своей связи между статистической физикой и алгоритмическим подходом метод Монте-Карло является универсальным подходов в моделировании систем большого количества молекул с множеством степеней свободы, в отличие от молекулярной динамики, случайно или псевдослучайно моделирует вероятности состояний, а не решает уравнения движения, а ввиду сложности прямого расчета всех состояний системы, является оптимальным для вычисления термодинамических потенциалов и энтропийных вкладов, являющимися индикаторами и движущей силой фазовых переходов, приводящих к крупномасштабным флуктуациям, так как алгоритм </w:t>
      </w:r>
    </w:p>
    <w:p w14:paraId="78301B86" w14:textId="0A2624EE" w:rsidR="00225D5E" w:rsidRPr="00225D5E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</w:rPr>
      </w:pPr>
      <w:r w:rsidRPr="00225D5E">
        <w:rPr>
          <w:color w:val="0D0D0D" w:themeColor="text1" w:themeTint="F2"/>
        </w:rPr>
        <w:t>Метрополиса [</w:t>
      </w:r>
      <w:r w:rsidR="00647046">
        <w:rPr>
          <w:color w:val="0D0D0D" w:themeColor="text1" w:themeTint="F2"/>
        </w:rPr>
        <w:t>5</w:t>
      </w:r>
      <w:r w:rsidRPr="00225D5E">
        <w:rPr>
          <w:color w:val="0D0D0D" w:themeColor="text1" w:themeTint="F2"/>
        </w:rPr>
        <w:t>] позволяет рассматривать преимущественно именно состояния с низкой энергией или высокой энтропией, вносящие наибольший вклад в статистическую сумму.</w:t>
      </w:r>
    </w:p>
    <w:p w14:paraId="5AF17354" w14:textId="7BE231CE" w:rsidR="00DB5F52" w:rsidRPr="00DB5F52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  <w:lang w:val="en-US"/>
        </w:rPr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  <w:color w:val="0D0D0D" w:themeColor="text1" w:themeTint="F2"/>
                </w:rPr>
              </m:ctrlPr>
            </m:dPr>
            <m:e>
              <m:r>
                <w:rPr>
                  <w:rFonts w:ascii="Cambria Math" w:hAnsi="Cambria Math"/>
                  <w:color w:val="0D0D0D" w:themeColor="text1" w:themeTint="F2"/>
                </w:rPr>
                <m:t>X</m:t>
              </m:r>
            </m:e>
          </m:d>
          <m:r>
            <w:rPr>
              <w:rFonts w:ascii="Cambria Math" w:hAnsi="Cambria Math"/>
              <w:color w:val="0D0D0D" w:themeColor="text1" w:themeTint="F2"/>
            </w:rPr>
            <m:t>=</m:t>
          </m:r>
          <m:f>
            <m:fPr>
              <m:ctrlPr>
                <w:rPr>
                  <w:rFonts w:ascii="Cambria Math" w:hAnsi="Cambria Math"/>
                  <w:color w:val="0D0D0D" w:themeColor="text1" w:themeTint="F2"/>
                </w:rPr>
              </m:ctrlPr>
            </m:fPr>
            <m:num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color w:val="0D0D0D" w:themeColor="text1" w:themeTint="F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D0D0D" w:themeColor="text1" w:themeTint="F2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b>
                <m:sup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D0D0D" w:themeColor="text1" w:themeTint="F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D0D0D" w:themeColor="text1" w:themeTint="F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e>
              </m:nary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num>
            <m:den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color w:val="0D0D0D" w:themeColor="text1" w:themeTint="F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D0D0D" w:themeColor="text1" w:themeTint="F2"/>
                    </w:rPr>
                    <m:t>j</m:t>
                  </m: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b>
                <m:sup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D0D0D" w:themeColor="text1" w:themeTint="F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j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e>
              </m:nary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den>
          </m:f>
          <m:r>
            <w:rPr>
              <w:rFonts w:ascii="Cambria Math" w:hAnsi="Cambria Math"/>
              <w:color w:val="0D0D0D" w:themeColor="text1" w:themeTint="F2"/>
            </w:rPr>
            <m:t>=</m:t>
          </m:r>
          <m:f>
            <m:fPr>
              <m:ctrlPr>
                <w:rPr>
                  <w:rFonts w:ascii="Cambria Math" w:hAnsi="Cambria Math"/>
                  <w:color w:val="0D0D0D" w:themeColor="text1" w:themeTint="F2"/>
                </w:rPr>
              </m:ctrlPr>
            </m:fPr>
            <m:num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color w:val="0D0D0D" w:themeColor="text1" w:themeTint="F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D0D0D" w:themeColor="text1" w:themeTint="F2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b>
                <m:sup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D0D0D" w:themeColor="text1" w:themeTint="F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D0D0D" w:themeColor="text1" w:themeTint="F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D0D0D" w:themeColor="text1" w:themeTint="F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D0D0D" w:themeColor="text1" w:themeTint="F2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D0D0D" w:themeColor="text1" w:themeTint="F2"/>
                            </w:rPr>
                            <m:t>i</m:t>
                          </m:r>
                        </m:sub>
                      </m:sSub>
                      <m:r>
                        <m:rPr>
                          <m:lit/>
                        </m:rPr>
                        <w:rPr>
                          <w:rFonts w:ascii="Cambria Math" w:hAnsi="Cambria Math"/>
                          <w:color w:val="0D0D0D" w:themeColor="text1" w:themeTint="F2"/>
                        </w:rPr>
                        <m:t>/</m:t>
                      </m:r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RT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e>
              </m:nary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num>
            <m:den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color w:val="0D0D0D" w:themeColor="text1" w:themeTint="F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D0D0D" w:themeColor="text1" w:themeTint="F2"/>
                    </w:rPr>
                    <m:t>j</m:t>
                  </m: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b>
                <m:sup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D0D0D" w:themeColor="text1" w:themeTint="F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D0D0D" w:themeColor="text1" w:themeTint="F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D0D0D" w:themeColor="text1" w:themeTint="F2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D0D0D" w:themeColor="text1" w:themeTint="F2"/>
                            </w:rPr>
                            <m:t>j</m:t>
                          </m:r>
                        </m:sub>
                      </m:sSub>
                      <m:r>
                        <m:rPr>
                          <m:lit/>
                        </m:rPr>
                        <w:rPr>
                          <w:rFonts w:ascii="Cambria Math" w:hAnsi="Cambria Math"/>
                          <w:color w:val="0D0D0D" w:themeColor="text1" w:themeTint="F2"/>
                        </w:rPr>
                        <m:t>/</m:t>
                      </m:r>
                      <m:r>
                        <w:rPr>
                          <w:rFonts w:ascii="Cambria Math" w:hAnsi="Cambria Math"/>
                          <w:color w:val="0D0D0D" w:themeColor="text1" w:themeTint="F2"/>
                        </w:rPr>
                        <m:t>RT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e>
              </m:nary>
              <m:ctrlPr>
                <w:rPr>
                  <w:rFonts w:ascii="Cambria Math" w:hAnsi="Cambria Math"/>
                  <w:i/>
                  <w:color w:val="0D0D0D" w:themeColor="text1" w:themeTint="F2"/>
                </w:rPr>
              </m:ctrlPr>
            </m:den>
          </m:f>
        </m:oMath>
      </m:oMathPara>
    </w:p>
    <w:p w14:paraId="4732EDBF" w14:textId="2FA79154" w:rsidR="00225D5E" w:rsidRPr="009A0465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  <w:lang w:val="en-US"/>
        </w:rPr>
      </w:pPr>
      <w:r w:rsidRPr="00225D5E">
        <w:rPr>
          <w:color w:val="0D0D0D" w:themeColor="text1" w:themeTint="F2"/>
        </w:rPr>
        <w:t xml:space="preserve">Применение метода Монте-Карло в данной работе обусловлено необходимости моделирования кооперативного поведения липидных головок вблизи критической точки, </w:t>
      </w:r>
      <w:r w:rsidRPr="00225D5E">
        <w:rPr>
          <w:color w:val="0D0D0D" w:themeColor="text1" w:themeTint="F2"/>
        </w:rPr>
        <w:lastRenderedPageBreak/>
        <w:t xml:space="preserve">а выбор упрощенного решеточного решения (модель </w:t>
      </w:r>
      <w:proofErr w:type="spellStart"/>
      <w:r w:rsidRPr="00225D5E">
        <w:rPr>
          <w:color w:val="0D0D0D" w:themeColor="text1" w:themeTint="F2"/>
        </w:rPr>
        <w:t>Изинга</w:t>
      </w:r>
      <w:proofErr w:type="spellEnd"/>
      <w:r w:rsidRPr="00225D5E">
        <w:rPr>
          <w:color w:val="0D0D0D" w:themeColor="text1" w:themeTint="F2"/>
        </w:rPr>
        <w:t>) обусловлен представлением каждого липида в качестве отдельного элемента на сетке</w:t>
      </w:r>
      <w:r w:rsidR="00DB5F52" w:rsidRPr="00DB5F52">
        <w:rPr>
          <w:color w:val="0D0D0D" w:themeColor="text1" w:themeTint="F2"/>
        </w:rPr>
        <w:t>.</w:t>
      </w:r>
      <w:r w:rsidRPr="00225D5E">
        <w:rPr>
          <w:color w:val="0D0D0D" w:themeColor="text1" w:themeTint="F2"/>
        </w:rPr>
        <w:br/>
        <w:t xml:space="preserve">Использовалась двумерная треугольная решетка размером </w:t>
      </w:r>
      <w:proofErr w:type="spellStart"/>
      <w:r w:rsidRPr="00225D5E">
        <w:rPr>
          <w:color w:val="0D0D0D" w:themeColor="text1" w:themeTint="F2"/>
          <w:lang w:val="en-US"/>
        </w:rPr>
        <w:t>NxN</w:t>
      </w:r>
      <w:proofErr w:type="spellEnd"/>
      <w:r w:rsidRPr="00225D5E">
        <w:rPr>
          <w:color w:val="0D0D0D" w:themeColor="text1" w:themeTint="F2"/>
        </w:rPr>
        <w:t xml:space="preserve"> с параметром </w:t>
      </w:r>
      <w:r w:rsidRPr="00225D5E">
        <w:rPr>
          <w:color w:val="0D0D0D" w:themeColor="text1" w:themeTint="F2"/>
          <w:lang w:val="en-US"/>
        </w:rPr>
        <w:t>a</w:t>
      </w:r>
      <w:r w:rsidRPr="00225D5E">
        <w:rPr>
          <w:color w:val="0D0D0D" w:themeColor="text1" w:themeTint="F2"/>
        </w:rPr>
        <w:t xml:space="preserve">, определяемом площадью, приходящейся на 1 липид, по формуле </w:t>
      </w:r>
      <m:oMath>
        <m:r>
          <w:rPr>
            <w:rFonts w:ascii="Cambria Math" w:hAnsi="Cambria Math"/>
            <w:color w:val="0D0D0D" w:themeColor="text1" w:themeTint="F2"/>
          </w:rPr>
          <m:t>a=</m:t>
        </m:r>
        <m:rad>
          <m:radPr>
            <m:degHide m:val="1"/>
            <m:ctrlPr>
              <w:rPr>
                <w:rFonts w:ascii="Cambria Math" w:hAnsi="Cambria Math"/>
                <w:color w:val="0D0D0D" w:themeColor="text1" w:themeTint="F2"/>
              </w:rPr>
            </m:ctrlPr>
          </m:radPr>
          <m:deg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deg>
          <m:e>
            <m:r>
              <w:rPr>
                <w:rFonts w:ascii="Cambria Math" w:hAnsi="Cambria Math"/>
                <w:color w:val="0D0D0D" w:themeColor="text1" w:themeTint="F2"/>
              </w:rPr>
              <m:t>2</m:t>
            </m:r>
          </m:e>
        </m:rad>
        <m:r>
          <w:rPr>
            <w:rFonts w:ascii="Cambria Math" w:hAnsi="Cambria Math"/>
            <w:color w:val="0D0D0D" w:themeColor="text1" w:themeTint="F2"/>
          </w:rPr>
          <m:t>σ</m:t>
        </m:r>
        <m:r>
          <m:rPr>
            <m:lit/>
            <m:sty m:val="p"/>
          </m:rPr>
          <w:rPr>
            <w:rFonts w:ascii="Cambria Math" w:hAnsi="Cambria Math"/>
            <w:color w:val="0D0D0D" w:themeColor="text1" w:themeTint="F2"/>
          </w:rPr>
          <m:t>/</m:t>
        </m:r>
        <m:rad>
          <m:radPr>
            <m:degHide m:val="1"/>
            <m:ctrlPr>
              <w:rPr>
                <w:rFonts w:ascii="Cambria Math" w:hAnsi="Cambria Math"/>
                <w:color w:val="0D0D0D" w:themeColor="text1" w:themeTint="F2"/>
              </w:rPr>
            </m:ctrlPr>
          </m:radPr>
          <m:deg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deg>
          <m:e>
            <m:r>
              <w:rPr>
                <w:rFonts w:ascii="Cambria Math" w:hAnsi="Cambria Math"/>
                <w:color w:val="0D0D0D" w:themeColor="text1" w:themeTint="F2"/>
              </w:rPr>
              <m:t>3</m:t>
            </m:r>
          </m:e>
        </m:rad>
      </m:oMath>
      <w:r w:rsidRPr="00225D5E">
        <w:rPr>
          <w:color w:val="0D0D0D" w:themeColor="text1" w:themeTint="F2"/>
        </w:rPr>
        <w:t>, к</w:t>
      </w:r>
      <w:r w:rsidRPr="00225D5E">
        <w:rPr>
          <w:color w:val="0D0D0D" w:themeColor="text1" w:themeTint="F2"/>
        </w:rPr>
        <w:t xml:space="preserve">аждая головка </w:t>
      </w:r>
      <w:r w:rsidRPr="00225D5E">
        <w:rPr>
          <w:color w:val="0D0D0D" w:themeColor="text1" w:themeTint="F2"/>
        </w:rPr>
        <w:t>описывалась</w:t>
      </w:r>
      <w:r w:rsidRPr="00225D5E">
        <w:rPr>
          <w:color w:val="0D0D0D" w:themeColor="text1" w:themeTint="F2"/>
        </w:rPr>
        <w:t xml:space="preserve"> дипольным моментом, ориентация которого задается углами </w:t>
      </w:r>
      <m:oMath>
        <m:r>
          <w:rPr>
            <w:rFonts w:ascii="Cambria Math" w:hAnsi="Cambria Math"/>
            <w:color w:val="0D0D0D" w:themeColor="text1" w:themeTint="F2"/>
          </w:rPr>
          <m:t>θ</m:t>
        </m:r>
      </m:oMath>
    </w:p>
    <w:p w14:paraId="528DC38E" w14:textId="77777777" w:rsidR="009A0465" w:rsidRPr="009A0465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D0D0D" w:themeColor="text1" w:themeTint="F2"/>
        </w:rPr>
      </w:pPr>
      <w:r w:rsidRPr="00225D5E">
        <w:rPr>
          <w:color w:val="0D0D0D" w:themeColor="text1" w:themeTint="F2"/>
        </w:rPr>
        <w:t xml:space="preserve">(наклон) и </w:t>
      </w:r>
      <m:oMath>
        <m:r>
          <w:rPr>
            <w:rFonts w:ascii="Cambria Math" w:hAnsi="Cambria Math"/>
            <w:color w:val="0D0D0D" w:themeColor="text1" w:themeTint="F2"/>
          </w:rPr>
          <m:t>ϕ</m:t>
        </m:r>
      </m:oMath>
      <w:r w:rsidRPr="00225D5E">
        <w:rPr>
          <w:color w:val="0D0D0D" w:themeColor="text1" w:themeTint="F2"/>
        </w:rPr>
        <w:t xml:space="preserve"> (азимут)</w:t>
      </w:r>
      <w:r w:rsidRPr="00225D5E">
        <w:rPr>
          <w:color w:val="0D0D0D" w:themeColor="text1" w:themeTint="F2"/>
        </w:rPr>
        <w:t>, у</w:t>
      </w:r>
      <w:r w:rsidRPr="00225D5E">
        <w:rPr>
          <w:color w:val="0D0D0D" w:themeColor="text1" w:themeTint="F2"/>
        </w:rPr>
        <w:t>читывалась электростатическая энергия взаимодействия между зарядами с учетом экранирования и диэлектрических свойств сред</w:t>
      </w:r>
    </w:p>
    <w:p w14:paraId="25DD4170" w14:textId="2118E173" w:rsidR="00225D5E" w:rsidRPr="009A0465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225D5E">
        <w:rPr>
          <w:b/>
          <w:bCs/>
          <w:color w:val="0D0D0D" w:themeColor="text1" w:themeTint="F2"/>
        </w:rPr>
        <w:t>Результаты моделирования</w:t>
      </w:r>
    </w:p>
    <w:p w14:paraId="3786DD0D" w14:textId="4BDB1244" w:rsidR="00225D5E" w:rsidRPr="00225D5E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225D5E">
        <w:rPr>
          <w:color w:val="0D0D0D" w:themeColor="text1" w:themeTint="F2"/>
        </w:rPr>
        <w:t>В ходе численных экспериментов были получены следующие данные</w:t>
      </w:r>
      <w:r w:rsidRPr="00225D5E">
        <w:rPr>
          <w:color w:val="0D0D0D" w:themeColor="text1" w:themeTint="F2"/>
        </w:rPr>
        <w:t>:</w:t>
      </w:r>
    </w:p>
    <w:p w14:paraId="0F4D4DAC" w14:textId="249B66EF" w:rsidR="00225D5E" w:rsidRPr="00225D5E" w:rsidRDefault="00225D5E" w:rsidP="000F0911">
      <w:pPr>
        <w:pStyle w:val="ab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both"/>
        <w:rPr>
          <w:rFonts w:eastAsia="SimSun"/>
          <w:color w:val="0D0D0D" w:themeColor="text1" w:themeTint="F2"/>
        </w:rPr>
      </w:pPr>
      <w:r w:rsidRPr="00225D5E">
        <w:rPr>
          <w:color w:val="0D0D0D" w:themeColor="text1" w:themeTint="F2"/>
        </w:rPr>
        <w:t>Рассчитаны средние углы наклона липидных головок для различных фазовых состояний: в гель-фазе</w:t>
      </w:r>
      <w:r w:rsidRPr="00225D5E">
        <w:rPr>
          <w:color w:val="0D0D0D" w:themeColor="text1" w:themeTint="F2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color w:val="0D0D0D" w:themeColor="text1" w:themeTint="F2"/>
              </w:rPr>
            </m:ctrlPr>
          </m:dPr>
          <m:e>
            <m:r>
              <w:rPr>
                <w:rFonts w:ascii="Cambria Math" w:hAnsi="Cambria Math"/>
                <w:color w:val="0D0D0D" w:themeColor="text1" w:themeTint="F2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≈</m:t>
        </m:r>
        <m:sSup>
          <m:sSupPr>
            <m:ctrlPr>
              <w:rPr>
                <w:rFonts w:ascii="Cambria Math" w:hAnsi="Cambria Math"/>
                <w:color w:val="0D0D0D" w:themeColor="text1" w:themeTint="F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68.7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∘</m:t>
            </m:r>
          </m:sup>
        </m:sSup>
      </m:oMath>
      <w:r w:rsidRPr="00225D5E">
        <w:rPr>
          <w:color w:val="0D0D0D" w:themeColor="text1" w:themeTint="F2"/>
        </w:rPr>
        <w:t xml:space="preserve">, в жидкокристаллической фазе — </w:t>
      </w:r>
      <m:oMath>
        <m:sSup>
          <m:sSupPr>
            <m:ctrlPr>
              <w:rPr>
                <w:rFonts w:ascii="Cambria Math" w:hAnsi="Cambria Math"/>
                <w:color w:val="0D0D0D" w:themeColor="text1" w:themeTint="F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64.1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∘</m:t>
            </m:r>
          </m:sup>
        </m:sSup>
      </m:oMath>
      <w:r w:rsidRPr="00225D5E">
        <w:rPr>
          <w:color w:val="0D0D0D" w:themeColor="text1" w:themeTint="F2"/>
        </w:rPr>
        <w:t>, что соответствует значениям</w:t>
      </w:r>
      <w:r w:rsidRPr="00225D5E">
        <w:rPr>
          <w:color w:val="0D0D0D" w:themeColor="text1" w:themeTint="F2"/>
        </w:rPr>
        <w:t>, полученным в [</w:t>
      </w:r>
      <w:r w:rsidR="00647046">
        <w:rPr>
          <w:color w:val="0D0D0D" w:themeColor="text1" w:themeTint="F2"/>
        </w:rPr>
        <w:t>2</w:t>
      </w:r>
      <w:r w:rsidRPr="00225D5E">
        <w:rPr>
          <w:color w:val="0D0D0D" w:themeColor="text1" w:themeTint="F2"/>
        </w:rPr>
        <w:t>] и экспериментальным данным, показано также, что по мере увеличения расстояний между липидами ориентация головных групп становится более хаотичной асимптоти</w:t>
      </w:r>
      <w:r>
        <w:rPr>
          <w:color w:val="0D0D0D" w:themeColor="text1" w:themeTint="F2"/>
        </w:rPr>
        <w:t>ч</w:t>
      </w:r>
      <w:r w:rsidRPr="00225D5E">
        <w:rPr>
          <w:color w:val="0D0D0D" w:themeColor="text1" w:themeTint="F2"/>
        </w:rPr>
        <w:t>ески стре</w:t>
      </w:r>
      <w:r>
        <w:rPr>
          <w:color w:val="0D0D0D" w:themeColor="text1" w:themeTint="F2"/>
        </w:rPr>
        <w:t>мя</w:t>
      </w:r>
      <w:r w:rsidRPr="00225D5E">
        <w:rPr>
          <w:color w:val="0D0D0D" w:themeColor="text1" w:themeTint="F2"/>
        </w:rPr>
        <w:t xml:space="preserve">сь к </w:t>
      </w:r>
      <m:oMath>
        <m:d>
          <m:dPr>
            <m:begChr m:val="⟨"/>
            <m:endChr m:val="⟩"/>
            <m:ctrlPr>
              <w:rPr>
                <w:rFonts w:ascii="Cambria Math" w:hAnsi="Cambria Math"/>
                <w:color w:val="0D0D0D" w:themeColor="text1" w:themeTint="F2"/>
              </w:rPr>
            </m:ctrlPr>
          </m:dPr>
          <m:e>
            <m:r>
              <w:rPr>
                <w:rFonts w:ascii="Cambria Math" w:hAnsi="Cambria Math"/>
                <w:color w:val="0D0D0D" w:themeColor="text1" w:themeTint="F2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≈</m:t>
        </m:r>
        <m:sSup>
          <m:sSupPr>
            <m:ctrlPr>
              <w:rPr>
                <w:rFonts w:ascii="Cambria Math" w:hAnsi="Cambria Math"/>
                <w:color w:val="0D0D0D" w:themeColor="text1" w:themeTint="F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57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∘</m:t>
            </m:r>
          </m:sup>
        </m:sSup>
      </m:oMath>
    </w:p>
    <w:p w14:paraId="23A9792E" w14:textId="7E60E682" w:rsidR="00225D5E" w:rsidRPr="00225D5E" w:rsidRDefault="00225D5E" w:rsidP="000F0911">
      <w:pPr>
        <w:pStyle w:val="ab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both"/>
        <w:rPr>
          <w:rFonts w:eastAsia="SimSun"/>
          <w:color w:val="0D0D0D" w:themeColor="text1" w:themeTint="F2"/>
        </w:rPr>
      </w:pPr>
      <w:r w:rsidRPr="00225D5E">
        <w:rPr>
          <w:rFonts w:eastAsia="SimSun"/>
          <w:color w:val="0D0D0D" w:themeColor="text1" w:themeTint="F2"/>
        </w:rPr>
        <w:t xml:space="preserve"> </w:t>
      </w:r>
      <w:r w:rsidRPr="00225D5E">
        <w:rPr>
          <w:color w:val="0D0D0D" w:themeColor="text1" w:themeTint="F2"/>
        </w:rPr>
        <w:t>Показано, что в точке фазового перехода наблюдается резкий рост флуктуаций энергии системы, что коррелирует с увеличением вероятности спонтанного образования пор.</w:t>
      </w:r>
    </w:p>
    <w:p w14:paraId="3A849113" w14:textId="13851891" w:rsidR="00DB5F52" w:rsidRPr="00DB5F52" w:rsidRDefault="00225D5E" w:rsidP="000F0911">
      <w:pPr>
        <w:pStyle w:val="ab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both"/>
        <w:rPr>
          <w:color w:val="0D0D0D" w:themeColor="text1" w:themeTint="F2"/>
        </w:rPr>
      </w:pPr>
      <w:r w:rsidRPr="00225D5E">
        <w:rPr>
          <w:rStyle w:val="citation-225"/>
          <w:color w:val="000000"/>
        </w:rPr>
        <w:t xml:space="preserve">Установлено, что внешнее электрическое поле сдвигает эффективную энтальпию перехода </w:t>
      </w:r>
      <m:oMath>
        <m:r>
          <m:rPr>
            <m:sty m:val="p"/>
          </m:rPr>
          <w:rPr>
            <w:rStyle w:val="citation-225"/>
            <w:rFonts w:ascii="Cambria Math" w:hAnsi="Cambria Math"/>
            <w:color w:val="000000"/>
          </w:rPr>
          <m:t>Δ</m:t>
        </m:r>
        <m:r>
          <w:rPr>
            <w:rStyle w:val="citation-225"/>
            <w:rFonts w:ascii="Cambria Math" w:hAnsi="Cambria Math"/>
            <w:color w:val="000000"/>
          </w:rPr>
          <m:t>Н</m:t>
        </m:r>
      </m:oMath>
      <w:r w:rsidRPr="00DB5F52">
        <w:rPr>
          <w:rStyle w:val="apple-converted-space"/>
          <w:color w:val="000000"/>
        </w:rPr>
        <w:t> </w:t>
      </w:r>
      <w:r w:rsidRPr="00DB5F52">
        <w:rPr>
          <w:rStyle w:val="citation-225"/>
          <w:color w:val="000000"/>
        </w:rPr>
        <w:t>за счет переориентации диполей липидных головок, что может индуцировать плавление мембраны и облегчать формирование проводящих пор</w:t>
      </w:r>
      <w:r w:rsidRPr="00DB5F52">
        <w:rPr>
          <w:color w:val="0D0D0D" w:themeColor="text1" w:themeTint="F2"/>
        </w:rPr>
        <w:t>.</w:t>
      </w:r>
    </w:p>
    <w:p w14:paraId="40EDF00A" w14:textId="7B51492A" w:rsidR="00DB5F52" w:rsidRPr="00647046" w:rsidRDefault="00DB5F52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jc w:val="both"/>
        <w:rPr>
          <w:rFonts w:eastAsia="Times New Roman"/>
          <w:color w:val="0D0D0D" w:themeColor="text1" w:themeTint="F2"/>
        </w:rPr>
      </w:pPr>
      <m:oMath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  <w:color w:val="0D0D0D" w:themeColor="text1" w:themeTint="F2"/>
                <w:lang w:val="en-US"/>
              </w:rPr>
              <m:t>top</m:t>
            </m:r>
          </m:sub>
        </m:sSub>
        <m:r>
          <w:rPr>
            <w:rFonts w:ascii="Cambria Math" w:hAnsi="Cambria Math"/>
            <w:color w:val="0D0D0D" w:themeColor="text1" w:themeTint="F2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r>
          <w:rPr>
            <w:rFonts w:ascii="Cambria Math" w:hAnsi="Cambria Math"/>
            <w:color w:val="0D0D0D" w:themeColor="text1" w:themeTint="F2"/>
          </w:rPr>
          <m:t>H</m:t>
        </m:r>
        <m:r>
          <w:rPr>
            <w:rFonts w:ascii="Cambria Math" w:hAnsi="Cambria Math"/>
            <w:color w:val="0D0D0D" w:themeColor="text1" w:themeTint="F2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r>
          <w:rPr>
            <w:rFonts w:ascii="Cambria Math" w:hAnsi="Cambria Math"/>
            <w:color w:val="0D0D0D" w:themeColor="text1" w:themeTint="F2"/>
          </w:rPr>
          <m:t>H</m:t>
        </m:r>
        <m:r>
          <w:rPr>
            <w:rFonts w:ascii="Cambria Math" w:hAnsi="Cambria Math"/>
            <w:color w:val="0D0D0D" w:themeColor="text1" w:themeTint="F2"/>
            <w:lang w:val="en-US"/>
          </w:rPr>
          <m:t>,</m:t>
        </m:r>
        <m:r>
          <m:rPr>
            <m:sty m:val="p"/>
          </m:rPr>
          <w:rPr>
            <w:rFonts w:ascii="Cambria Math" w:hAnsi="Cambria Math"/>
            <w:color w:val="0D0D0D" w:themeColor="text1" w:themeTint="F2"/>
            <w:lang w:val="en-US"/>
          </w:rPr>
          <m:t> </m:t>
        </m:r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</w:rPr>
              <m:t>H</m:t>
            </m:r>
          </m:e>
          <m:sub>
            <m:r>
              <m:rPr>
                <m:nor/>
              </m:rPr>
              <w:rPr>
                <w:rFonts w:ascii="Cambria Math" w:hAnsi="Cambria Math"/>
                <w:color w:val="0D0D0D" w:themeColor="text1" w:themeTint="F2"/>
                <w:lang w:val="en-US"/>
              </w:rPr>
              <m:t>bottom</m:t>
            </m:r>
          </m:sub>
        </m:sSub>
        <m:r>
          <w:rPr>
            <w:rFonts w:ascii="Cambria Math" w:hAnsi="Cambria Math"/>
            <w:color w:val="0D0D0D" w:themeColor="text1" w:themeTint="F2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r>
          <w:rPr>
            <w:rFonts w:ascii="Cambria Math" w:hAnsi="Cambria Math"/>
            <w:color w:val="0D0D0D" w:themeColor="text1" w:themeTint="F2"/>
          </w:rPr>
          <m:t>H</m:t>
        </m:r>
        <m:r>
          <w:rPr>
            <w:rFonts w:ascii="Cambria Math" w:hAnsi="Cambria Math"/>
            <w:color w:val="0D0D0D" w:themeColor="text1" w:themeTint="F2"/>
            <w:lang w:val="en-US"/>
          </w:rPr>
          <m:t>-</m:t>
        </m:r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r>
          <w:rPr>
            <w:rFonts w:ascii="Cambria Math" w:hAnsi="Cambria Math"/>
            <w:color w:val="0D0D0D" w:themeColor="text1" w:themeTint="F2"/>
          </w:rPr>
          <m:t>H</m:t>
        </m:r>
      </m:oMath>
      <w:r w:rsidRPr="00DB5F52">
        <w:rPr>
          <w:rFonts w:eastAsia="Times New Roman"/>
          <w:color w:val="0D0D0D" w:themeColor="text1" w:themeTint="F2"/>
          <w:lang w:val="en-US"/>
        </w:rPr>
        <w:t xml:space="preserve">,    </w:t>
      </w:r>
      <m:oMath>
        <m:r>
          <m:rPr>
            <m:sty m:val="p"/>
          </m:rPr>
          <w:rPr>
            <w:rFonts w:ascii="Cambria Math" w:hAnsi="Cambria Math"/>
            <w:color w:val="0D0D0D" w:themeColor="text1" w:themeTint="F2"/>
          </w:rPr>
          <m:t>δ</m:t>
        </m:r>
        <m:r>
          <w:rPr>
            <w:rFonts w:ascii="Cambria Math" w:hAnsi="Cambria Math"/>
            <w:color w:val="0D0D0D" w:themeColor="text1" w:themeTint="F2"/>
          </w:rPr>
          <m:t>H</m:t>
        </m:r>
        <m:r>
          <w:rPr>
            <w:rFonts w:ascii="Cambria Math" w:hAnsi="Cambria Math"/>
            <w:color w:val="0D0D0D" w:themeColor="text1" w:themeTint="F2"/>
            <w:lang w:val="en-US"/>
          </w:rPr>
          <m:t>=</m:t>
        </m:r>
        <m:r>
          <w:rPr>
            <w:rFonts w:ascii="Cambria Math" w:hAnsi="Cambria Math"/>
            <w:color w:val="0D0D0D" w:themeColor="text1" w:themeTint="F2"/>
          </w:rPr>
          <m:t>q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</w:rPr>
              <m:t>V</m:t>
            </m:r>
          </m:e>
          <m:sub>
            <m:r>
              <w:rPr>
                <w:rFonts w:ascii="Cambria Math" w:hAnsi="Cambria Math"/>
                <w:color w:val="0D0D0D" w:themeColor="text1" w:themeTint="F2"/>
              </w:rPr>
              <m:t>m</m:t>
            </m:r>
          </m:sub>
        </m:sSub>
        <m:f>
          <m:fPr>
            <m:ctrlPr>
              <w:rPr>
                <w:rFonts w:ascii="Cambria Math" w:hAnsi="Cambria Math"/>
                <w:color w:val="0D0D0D" w:themeColor="text1" w:themeTint="F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</w:rPr>
                  <m:t>L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</w:rPr>
                  <m:t>d</m:t>
                </m:r>
              </m:sub>
            </m:sSub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num>
          <m:den>
            <m:r>
              <w:rPr>
                <w:rFonts w:ascii="Cambria Math" w:hAnsi="Cambria Math"/>
                <w:color w:val="0D0D0D" w:themeColor="text1" w:themeTint="F2"/>
              </w:rPr>
              <m:t>d</m:t>
            </m:r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den>
        </m:f>
        <m:d>
          <m:dPr>
            <m:ctrlPr>
              <w:rPr>
                <w:rFonts w:ascii="Cambria Math" w:hAnsi="Cambria Math"/>
                <w:i/>
                <w:color w:val="0D0D0D" w:themeColor="text1" w:themeTint="F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</w:rPr>
              <m:t>co</m:t>
            </m:r>
            <m:func>
              <m:funcPr>
                <m:ctrlPr>
                  <w:rPr>
                    <w:rFonts w:ascii="Cambria Math" w:hAnsi="Cambria Math"/>
                    <w:color w:val="0D0D0D" w:themeColor="text1" w:themeTint="F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</w:rPr>
                  <m:t>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D0D0D" w:themeColor="text1" w:themeTint="F2"/>
                      </w:rPr>
                      <m:t>θ</m:t>
                    </m:r>
                    <m:ctrlPr>
                      <w:rPr>
                        <w:rFonts w:ascii="Cambria Math" w:hAnsi="Cambria Math"/>
                        <w:color w:val="0D0D0D" w:themeColor="text1" w:themeTint="F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</w:rPr>
                      <m:t>f</m:t>
                    </m:r>
                  </m:sub>
                </m:sSub>
              </m:e>
            </m:func>
            <m:r>
              <w:rPr>
                <w:rFonts w:ascii="Cambria Math" w:hAnsi="Cambria Math"/>
                <w:color w:val="0D0D0D" w:themeColor="text1" w:themeTint="F2"/>
                <w:lang w:val="en-US"/>
              </w:rPr>
              <m:t>-</m:t>
            </m:r>
            <m:func>
              <m:funcPr>
                <m:ctrlPr>
                  <w:rPr>
                    <w:rFonts w:ascii="Cambria Math" w:hAnsi="Cambria Math"/>
                    <w:color w:val="0D0D0D" w:themeColor="text1" w:themeTint="F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lang w:val="en-US"/>
                  </w:rPr>
                  <m:t>cos</m:t>
                </m:r>
                <m:ctrlPr>
                  <w:rPr>
                    <w:rFonts w:ascii="Cambria Math" w:hAnsi="Cambria Math"/>
                    <w:i/>
                    <w:color w:val="0D0D0D" w:themeColor="text1" w:themeTint="F2"/>
                  </w:rPr>
                </m:ctrlP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D0D0D" w:themeColor="text1" w:themeTint="F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D0D0D" w:themeColor="text1" w:themeTint="F2"/>
                      </w:rPr>
                      <m:t>θ</m:t>
                    </m:r>
                    <m:ctrlPr>
                      <w:rPr>
                        <w:rFonts w:ascii="Cambria Math" w:hAnsi="Cambria Math"/>
                        <w:color w:val="0D0D0D" w:themeColor="text1" w:themeTint="F2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color w:val="0D0D0D" w:themeColor="text1" w:themeTint="F2"/>
                      </w:rPr>
                      <m:t>g</m:t>
                    </m:r>
                  </m:sub>
                </m:sSub>
              </m:e>
            </m:func>
          </m:e>
        </m:d>
      </m:oMath>
    </w:p>
    <w:p w14:paraId="1789E832" w14:textId="51164A4C" w:rsidR="00225D5E" w:rsidRPr="009A0465" w:rsidRDefault="00647046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noProof/>
        </w:rPr>
      </w:pPr>
      <w:r w:rsidRPr="00225D5E">
        <w:fldChar w:fldCharType="begin"/>
      </w:r>
      <w:r w:rsidRPr="00DB5F52">
        <w:rPr>
          <w:lang w:val="en-US"/>
        </w:rPr>
        <w:instrText xml:space="preserve"> INCLUDEPICTURE "/Users/Daniil/Library/Group Containers/UBF8T346G9.ms/WebArchiveCopyPasteTempFiles/com.microsoft.Word/image.jpg" \* MERGEFORMATINET </w:instrText>
      </w:r>
      <w:r w:rsidRPr="00225D5E">
        <w:fldChar w:fldCharType="separate"/>
      </w:r>
      <w:r w:rsidRPr="00225D5E">
        <w:rPr>
          <w:noProof/>
        </w:rPr>
        <w:drawing>
          <wp:inline distT="0" distB="0" distL="0" distR="0" wp14:anchorId="0CE6DDEC" wp14:editId="0FDC62FB">
            <wp:extent cx="1856674" cy="1398954"/>
            <wp:effectExtent l="0" t="0" r="0" b="0"/>
            <wp:docPr id="537690536" name="Рисунок 1" descr="activ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e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84" cy="142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D5E">
        <w:fldChar w:fldCharType="end"/>
      </w:r>
      <w:r w:rsidR="00225D5E" w:rsidRPr="00225D5E">
        <w:drawing>
          <wp:inline distT="0" distB="0" distL="0" distR="0" wp14:anchorId="38DD4261" wp14:editId="2FFDA39B">
            <wp:extent cx="2714547" cy="1242646"/>
            <wp:effectExtent l="0" t="0" r="3810" b="2540"/>
            <wp:docPr id="2139137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37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1502" cy="129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C09F" w14:textId="37081630" w:rsidR="00DB5F52" w:rsidRPr="00647046" w:rsidRDefault="00DB5F52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>Рис 1</w:t>
      </w:r>
      <w:r w:rsidRPr="00647046">
        <w:rPr>
          <w:noProof/>
        </w:rPr>
        <w:t>.</w:t>
      </w:r>
      <w:r w:rsidR="00647046">
        <w:rPr>
          <w:noProof/>
        </w:rPr>
        <w:t xml:space="preserve"> Модель липидных головок и динамика фазового перехода</w:t>
      </w:r>
    </w:p>
    <w:p w14:paraId="1FFD868A" w14:textId="7FDB8D29" w:rsidR="00225D5E" w:rsidRPr="00225D5E" w:rsidRDefault="00225D5E" w:rsidP="000F09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noProof/>
        </w:rPr>
      </w:pPr>
      <w:r w:rsidRPr="00225D5E">
        <w:rPr>
          <w:b/>
          <w:bCs/>
          <w:noProof/>
        </w:rPr>
        <w:t xml:space="preserve">Библиографический список: </w:t>
      </w:r>
    </w:p>
    <w:p w14:paraId="13AC3C93" w14:textId="04676CE4" w:rsidR="00225D5E" w:rsidRPr="00DB5F52" w:rsidRDefault="00DB5F52" w:rsidP="000F0911">
      <w:pPr>
        <w:pStyle w:val="p1"/>
        <w:numPr>
          <w:ilvl w:val="0"/>
          <w:numId w:val="13"/>
        </w:numPr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DB5F52">
        <w:rPr>
          <w:rFonts w:ascii="Times New Roman" w:hAnsi="Times New Roman"/>
          <w:sz w:val="24"/>
          <w:szCs w:val="24"/>
          <w:lang w:val="en-US"/>
        </w:rPr>
        <w:t xml:space="preserve">Antonov VF, Petrov VV, Molnar AA, </w:t>
      </w:r>
      <w:proofErr w:type="spellStart"/>
      <w:r w:rsidRPr="00DB5F52">
        <w:rPr>
          <w:rFonts w:ascii="Times New Roman" w:hAnsi="Times New Roman"/>
          <w:sz w:val="24"/>
          <w:szCs w:val="24"/>
          <w:lang w:val="en-US"/>
        </w:rPr>
        <w:t>Predvoditelev</w:t>
      </w:r>
      <w:proofErr w:type="spellEnd"/>
      <w:r w:rsidRPr="00DB5F52">
        <w:rPr>
          <w:rFonts w:ascii="Times New Roman" w:hAnsi="Times New Roman"/>
          <w:sz w:val="24"/>
          <w:szCs w:val="24"/>
          <w:lang w:val="en-US"/>
        </w:rPr>
        <w:t xml:space="preserve"> DA, Ivanov</w:t>
      </w:r>
      <w:r w:rsidRPr="00DB5F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AS</w:t>
      </w:r>
      <w:r w:rsidRPr="00DB5F52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 xml:space="preserve">1980) </w:t>
      </w:r>
      <w:r w:rsidRPr="00DB5F52">
        <w:rPr>
          <w:rFonts w:ascii="Times New Roman" w:hAnsi="Times New Roman"/>
          <w:sz w:val="24"/>
          <w:szCs w:val="24"/>
          <w:lang w:val="en-US"/>
        </w:rPr>
        <w:t>The appearance of single-ion channels in unmodified lipid bilayer membranes at the phase transition temperature. Nature 283:585-586. Nature. 283. 585-6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1D5D3D80" w14:textId="77777777" w:rsidR="00647046" w:rsidRPr="00647046" w:rsidRDefault="00647046" w:rsidP="000F0911">
      <w:pPr>
        <w:pStyle w:val="p1"/>
        <w:numPr>
          <w:ilvl w:val="0"/>
          <w:numId w:val="13"/>
        </w:numPr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DB5F52">
        <w:rPr>
          <w:rFonts w:ascii="Times New Roman" w:hAnsi="Times New Roman"/>
          <w:sz w:val="24"/>
          <w:szCs w:val="24"/>
          <w:lang w:val="en-US"/>
        </w:rPr>
        <w:t xml:space="preserve">Blicher A. Electrical aspects of lipid </w:t>
      </w:r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membranes :</w:t>
      </w:r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 xml:space="preserve"> PhD thesis / Andreas </w:t>
      </w:r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Blicher ;</w:t>
      </w:r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 xml:space="preserve"> supervisor Thomas Heimburg.</w:t>
      </w:r>
      <w:r w:rsidRPr="00DB5F52">
        <w:rPr>
          <w:rStyle w:val="apple-converted-space"/>
          <w:rFonts w:ascii="Times New Roman" w:hAnsi="Times New Roman"/>
          <w:sz w:val="24"/>
          <w:szCs w:val="24"/>
          <w:lang w:val="en-US"/>
        </w:rPr>
        <w:t> </w:t>
      </w:r>
      <w:r w:rsidRPr="00DB5F52">
        <w:rPr>
          <w:rStyle w:val="citation-261"/>
          <w:rFonts w:ascii="Times New Roman" w:hAnsi="Times New Roman"/>
          <w:sz w:val="24"/>
          <w:szCs w:val="24"/>
          <w:lang w:val="en-US"/>
        </w:rPr>
        <w:t xml:space="preserve">— </w:t>
      </w:r>
      <w:proofErr w:type="gramStart"/>
      <w:r w:rsidRPr="00DB5F52">
        <w:rPr>
          <w:rStyle w:val="citation-261"/>
          <w:rFonts w:ascii="Times New Roman" w:hAnsi="Times New Roman"/>
          <w:sz w:val="24"/>
          <w:szCs w:val="24"/>
          <w:lang w:val="en-US"/>
        </w:rPr>
        <w:t>Copenhagen :</w:t>
      </w:r>
      <w:proofErr w:type="gramEnd"/>
      <w:r w:rsidRPr="00DB5F52">
        <w:rPr>
          <w:rStyle w:val="citation-261"/>
          <w:rFonts w:ascii="Times New Roman" w:hAnsi="Times New Roman"/>
          <w:sz w:val="24"/>
          <w:szCs w:val="24"/>
          <w:lang w:val="en-US"/>
        </w:rPr>
        <w:t xml:space="preserve"> University of Copenhagen, Niels Bohr Institute, 2011.</w:t>
      </w:r>
      <w:r w:rsidRPr="00DB5F52">
        <w:rPr>
          <w:rStyle w:val="apple-converted-space"/>
          <w:rFonts w:ascii="Times New Roman" w:hAnsi="Times New Roman"/>
          <w:sz w:val="24"/>
          <w:szCs w:val="24"/>
          <w:lang w:val="en-US"/>
        </w:rPr>
        <w:t> </w:t>
      </w:r>
      <w:r w:rsidRPr="00DB5F52">
        <w:rPr>
          <w:rFonts w:ascii="Times New Roman" w:hAnsi="Times New Roman"/>
          <w:sz w:val="24"/>
          <w:szCs w:val="24"/>
          <w:lang w:val="en-US"/>
        </w:rPr>
        <w:t>— 188 p</w:t>
      </w:r>
    </w:p>
    <w:p w14:paraId="1D0D135F" w14:textId="593B3301" w:rsidR="00647046" w:rsidRPr="00647046" w:rsidRDefault="00647046" w:rsidP="000F0911">
      <w:pPr>
        <w:pStyle w:val="afb"/>
        <w:numPr>
          <w:ilvl w:val="0"/>
          <w:numId w:val="13"/>
        </w:numPr>
        <w:ind w:firstLine="0"/>
        <w:jc w:val="both"/>
        <w:rPr>
          <w:color w:val="000000"/>
          <w:lang w:val="en-US"/>
        </w:rPr>
      </w:pPr>
      <w:r w:rsidRPr="00DB5F52">
        <w:rPr>
          <w:color w:val="000000"/>
          <w:lang w:val="en-US"/>
        </w:rPr>
        <w:t>Heimburg T. Lipid ion channels // Biophysical Chemistry. — 2010. — Vol. 150, No. 1–3. — P. 2–2</w:t>
      </w:r>
      <w:r w:rsidRPr="00647046">
        <w:rPr>
          <w:color w:val="000000"/>
          <w:lang w:val="en-US"/>
        </w:rPr>
        <w:t>2</w:t>
      </w:r>
    </w:p>
    <w:p w14:paraId="6DBD2D87" w14:textId="0EC922B3" w:rsidR="00225D5E" w:rsidRPr="00DB5F52" w:rsidRDefault="00225D5E" w:rsidP="000F0911">
      <w:pPr>
        <w:pStyle w:val="p1"/>
        <w:numPr>
          <w:ilvl w:val="0"/>
          <w:numId w:val="13"/>
        </w:numPr>
        <w:ind w:left="757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DB5F52">
        <w:rPr>
          <w:rFonts w:ascii="Times New Roman" w:hAnsi="Times New Roman"/>
          <w:sz w:val="24"/>
          <w:szCs w:val="24"/>
          <w:lang w:val="en-US"/>
        </w:rPr>
        <w:t>Heimburg, T.</w:t>
      </w:r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,  Jackson</w:t>
      </w:r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 xml:space="preserve">, A. D. (2005). On soliton propagation in </w:t>
      </w:r>
      <w:proofErr w:type="spellStart"/>
      <w:r w:rsidRPr="00DB5F52">
        <w:rPr>
          <w:rFonts w:ascii="Times New Roman" w:hAnsi="Times New Roman"/>
          <w:sz w:val="24"/>
          <w:szCs w:val="24"/>
          <w:lang w:val="en-US"/>
        </w:rPr>
        <w:t>biomembranes</w:t>
      </w:r>
      <w:proofErr w:type="spellEnd"/>
      <w:r w:rsidRPr="00DB5F52">
        <w:rPr>
          <w:rFonts w:ascii="Times New Roman" w:hAnsi="Times New Roman"/>
          <w:sz w:val="24"/>
          <w:szCs w:val="24"/>
          <w:lang w:val="en-US"/>
        </w:rPr>
        <w:t xml:space="preserve"> and nerves. </w:t>
      </w:r>
      <w:r w:rsidRPr="00DB5F52">
        <w:rPr>
          <w:rFonts w:ascii="Times New Roman" w:hAnsi="Times New Roman"/>
          <w:sz w:val="24"/>
          <w:szCs w:val="24"/>
        </w:rPr>
        <w:t>PNAS, 102(28), 9790-9795</w:t>
      </w:r>
    </w:p>
    <w:p w14:paraId="25C2144D" w14:textId="37F1F202" w:rsidR="00225D5E" w:rsidRPr="00DB5F52" w:rsidRDefault="00225D5E" w:rsidP="000F0911">
      <w:pPr>
        <w:pStyle w:val="p1"/>
        <w:numPr>
          <w:ilvl w:val="0"/>
          <w:numId w:val="13"/>
        </w:numPr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N.Metropolis</w:t>
      </w:r>
      <w:proofErr w:type="spellEnd"/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>,</w:t>
      </w:r>
      <w:r w:rsidR="00DB5F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A.Rosenbluth</w:t>
      </w:r>
      <w:proofErr w:type="spellEnd"/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>,</w:t>
      </w:r>
      <w:r w:rsidR="00DB5F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M.Rosenbluth</w:t>
      </w:r>
      <w:proofErr w:type="spellEnd"/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>,</w:t>
      </w:r>
      <w:r w:rsidR="00DB5F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A.Teller</w:t>
      </w:r>
      <w:proofErr w:type="spellEnd"/>
      <w:proofErr w:type="gramEnd"/>
      <w:r w:rsidR="00DB5F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5F52">
        <w:rPr>
          <w:rFonts w:ascii="Times New Roman" w:hAnsi="Times New Roman"/>
          <w:sz w:val="24"/>
          <w:szCs w:val="24"/>
          <w:lang w:val="en-US"/>
        </w:rPr>
        <w:t>and</w:t>
      </w:r>
      <w:r w:rsidR="00DB5F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E.Teller</w:t>
      </w:r>
      <w:proofErr w:type="spellEnd"/>
      <w:proofErr w:type="gramEnd"/>
      <w:r w:rsidRPr="00DB5F52">
        <w:rPr>
          <w:rFonts w:ascii="Times New Roman" w:hAnsi="Times New Roman"/>
          <w:sz w:val="24"/>
          <w:szCs w:val="24"/>
          <w:lang w:val="en-US"/>
        </w:rPr>
        <w:t>.</w:t>
      </w:r>
      <w:r w:rsidR="00DB5F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B5F52">
        <w:rPr>
          <w:rFonts w:ascii="Times New Roman" w:hAnsi="Times New Roman"/>
          <w:sz w:val="24"/>
          <w:szCs w:val="24"/>
          <w:lang w:val="en-US"/>
        </w:rPr>
        <w:t>Equationofstate</w:t>
      </w:r>
      <w:proofErr w:type="spellEnd"/>
      <w:proofErr w:type="gramEnd"/>
    </w:p>
    <w:p w14:paraId="21919262" w14:textId="77777777" w:rsidR="00225D5E" w:rsidRPr="00DB5F52" w:rsidRDefault="00225D5E" w:rsidP="000F0911">
      <w:pPr>
        <w:pStyle w:val="p1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B5F52">
        <w:rPr>
          <w:rFonts w:ascii="Times New Roman" w:hAnsi="Times New Roman"/>
          <w:sz w:val="24"/>
          <w:szCs w:val="24"/>
        </w:rPr>
        <w:t>calculationsbyfastcomputingmachines</w:t>
      </w:r>
      <w:proofErr w:type="spellEnd"/>
      <w:r w:rsidRPr="00DB5F52">
        <w:rPr>
          <w:rFonts w:ascii="Times New Roman" w:hAnsi="Times New Roman"/>
          <w:sz w:val="24"/>
          <w:szCs w:val="24"/>
        </w:rPr>
        <w:t xml:space="preserve">. J </w:t>
      </w:r>
      <w:proofErr w:type="spellStart"/>
      <w:r w:rsidRPr="00DB5F52">
        <w:rPr>
          <w:rFonts w:ascii="Times New Roman" w:hAnsi="Times New Roman"/>
          <w:sz w:val="24"/>
          <w:szCs w:val="24"/>
        </w:rPr>
        <w:t>Chem</w:t>
      </w:r>
      <w:proofErr w:type="spellEnd"/>
      <w:r w:rsidRPr="00DB5F52">
        <w:rPr>
          <w:rFonts w:ascii="Times New Roman" w:hAnsi="Times New Roman"/>
          <w:sz w:val="24"/>
          <w:szCs w:val="24"/>
        </w:rPr>
        <w:t xml:space="preserve"> Phys,21(6):1087–1092,1953</w:t>
      </w:r>
    </w:p>
    <w:p w14:paraId="7B5915A7" w14:textId="5154F10B" w:rsidR="00225D5E" w:rsidRPr="00DB5F52" w:rsidRDefault="00225D5E" w:rsidP="000F0911">
      <w:pPr>
        <w:pStyle w:val="p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7D1584" w14:textId="22C98B57" w:rsidR="008C7580" w:rsidRPr="00DB5F52" w:rsidRDefault="008C7580" w:rsidP="000F0911">
      <w:pPr>
        <w:jc w:val="both"/>
        <w:rPr>
          <w:rStyle w:val="ae"/>
          <w:b w:val="0"/>
          <w:bCs w:val="0"/>
          <w:lang w:val="en-US"/>
        </w:rPr>
      </w:pPr>
    </w:p>
    <w:sectPr w:rsidR="008C7580" w:rsidRPr="00DB5F52" w:rsidSect="00647046">
      <w:footnotePr>
        <w:numFmt w:val="chicago"/>
      </w:footnotePr>
      <w:pgSz w:w="11906" w:h="16838"/>
      <w:pgMar w:top="1134" w:right="1361" w:bottom="1259" w:left="136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11DD" w14:textId="77777777" w:rsidR="00633B25" w:rsidRDefault="00633B25" w:rsidP="00FB6883">
      <w:r>
        <w:separator/>
      </w:r>
    </w:p>
  </w:endnote>
  <w:endnote w:type="continuationSeparator" w:id="0">
    <w:p w14:paraId="53E3866C" w14:textId="77777777" w:rsidR="00633B25" w:rsidRDefault="00633B25" w:rsidP="00FB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880E" w14:textId="77777777" w:rsidR="00633B25" w:rsidRDefault="00633B25" w:rsidP="00FB6883">
      <w:r>
        <w:separator/>
      </w:r>
    </w:p>
  </w:footnote>
  <w:footnote w:type="continuationSeparator" w:id="0">
    <w:p w14:paraId="34B1EBB9" w14:textId="77777777" w:rsidR="00633B25" w:rsidRDefault="00633B25" w:rsidP="00FB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3B4D"/>
    <w:multiLevelType w:val="hybridMultilevel"/>
    <w:tmpl w:val="03B4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2266"/>
    <w:multiLevelType w:val="hybridMultilevel"/>
    <w:tmpl w:val="151A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55008">
    <w:abstractNumId w:val="0"/>
  </w:num>
  <w:num w:numId="2" w16cid:durableId="964434886">
    <w:abstractNumId w:val="9"/>
  </w:num>
  <w:num w:numId="3" w16cid:durableId="1138844143">
    <w:abstractNumId w:val="1"/>
  </w:num>
  <w:num w:numId="4" w16cid:durableId="881672888">
    <w:abstractNumId w:val="4"/>
  </w:num>
  <w:num w:numId="5" w16cid:durableId="646935701">
    <w:abstractNumId w:val="3"/>
  </w:num>
  <w:num w:numId="6" w16cid:durableId="1979139070">
    <w:abstractNumId w:val="6"/>
  </w:num>
  <w:num w:numId="7" w16cid:durableId="2004505679">
    <w:abstractNumId w:val="11"/>
  </w:num>
  <w:num w:numId="8" w16cid:durableId="220866265">
    <w:abstractNumId w:val="5"/>
  </w:num>
  <w:num w:numId="9" w16cid:durableId="1529685314">
    <w:abstractNumId w:val="10"/>
  </w:num>
  <w:num w:numId="10" w16cid:durableId="117720290">
    <w:abstractNumId w:val="8"/>
  </w:num>
  <w:num w:numId="11" w16cid:durableId="670252814">
    <w:abstractNumId w:val="12"/>
  </w:num>
  <w:num w:numId="12" w16cid:durableId="1593665586">
    <w:abstractNumId w:val="7"/>
  </w:num>
  <w:num w:numId="13" w16cid:durableId="100670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4B"/>
    <w:rsid w:val="000005E1"/>
    <w:rsid w:val="00032A99"/>
    <w:rsid w:val="000578D0"/>
    <w:rsid w:val="000661A2"/>
    <w:rsid w:val="00093217"/>
    <w:rsid w:val="000B3F3B"/>
    <w:rsid w:val="000B45AC"/>
    <w:rsid w:val="000D2EF3"/>
    <w:rsid w:val="000D6382"/>
    <w:rsid w:val="000E77D9"/>
    <w:rsid w:val="000F0911"/>
    <w:rsid w:val="0012620C"/>
    <w:rsid w:val="00132BB2"/>
    <w:rsid w:val="00160D31"/>
    <w:rsid w:val="001A1712"/>
    <w:rsid w:val="001A52AF"/>
    <w:rsid w:val="00217DED"/>
    <w:rsid w:val="00225D5E"/>
    <w:rsid w:val="0023740D"/>
    <w:rsid w:val="0027178B"/>
    <w:rsid w:val="00293B11"/>
    <w:rsid w:val="002C5E80"/>
    <w:rsid w:val="002F26E8"/>
    <w:rsid w:val="00301270"/>
    <w:rsid w:val="00315C5B"/>
    <w:rsid w:val="003376B1"/>
    <w:rsid w:val="00341FE7"/>
    <w:rsid w:val="00346077"/>
    <w:rsid w:val="003515DF"/>
    <w:rsid w:val="00370F7A"/>
    <w:rsid w:val="00381662"/>
    <w:rsid w:val="00385089"/>
    <w:rsid w:val="003A15C3"/>
    <w:rsid w:val="003A73DC"/>
    <w:rsid w:val="003D52AD"/>
    <w:rsid w:val="004402AF"/>
    <w:rsid w:val="00453BE7"/>
    <w:rsid w:val="004A6FD7"/>
    <w:rsid w:val="00503D28"/>
    <w:rsid w:val="00545C02"/>
    <w:rsid w:val="00575610"/>
    <w:rsid w:val="00585A69"/>
    <w:rsid w:val="005A056D"/>
    <w:rsid w:val="005B0334"/>
    <w:rsid w:val="005B479D"/>
    <w:rsid w:val="0061018E"/>
    <w:rsid w:val="006162E9"/>
    <w:rsid w:val="00633B25"/>
    <w:rsid w:val="00641BEA"/>
    <w:rsid w:val="00642F89"/>
    <w:rsid w:val="00647046"/>
    <w:rsid w:val="00686B5B"/>
    <w:rsid w:val="00697FB0"/>
    <w:rsid w:val="006C0664"/>
    <w:rsid w:val="007011A3"/>
    <w:rsid w:val="00703E8B"/>
    <w:rsid w:val="00707527"/>
    <w:rsid w:val="00722E50"/>
    <w:rsid w:val="00792102"/>
    <w:rsid w:val="007B0835"/>
    <w:rsid w:val="007E1340"/>
    <w:rsid w:val="00807E4E"/>
    <w:rsid w:val="00824F8F"/>
    <w:rsid w:val="008A74BC"/>
    <w:rsid w:val="008B652F"/>
    <w:rsid w:val="008C4AA7"/>
    <w:rsid w:val="008C7580"/>
    <w:rsid w:val="008F0278"/>
    <w:rsid w:val="008F6564"/>
    <w:rsid w:val="009006D8"/>
    <w:rsid w:val="009234F6"/>
    <w:rsid w:val="009339C4"/>
    <w:rsid w:val="009872F0"/>
    <w:rsid w:val="009A0465"/>
    <w:rsid w:val="009C5C4C"/>
    <w:rsid w:val="00A53C16"/>
    <w:rsid w:val="00AA3826"/>
    <w:rsid w:val="00AB72EB"/>
    <w:rsid w:val="00AF0273"/>
    <w:rsid w:val="00B522AA"/>
    <w:rsid w:val="00BA12AC"/>
    <w:rsid w:val="00BD5D7A"/>
    <w:rsid w:val="00BF70ED"/>
    <w:rsid w:val="00C1098C"/>
    <w:rsid w:val="00C77CC2"/>
    <w:rsid w:val="00C80139"/>
    <w:rsid w:val="00CC05AA"/>
    <w:rsid w:val="00CE2D64"/>
    <w:rsid w:val="00CE769C"/>
    <w:rsid w:val="00D54A17"/>
    <w:rsid w:val="00DB5F52"/>
    <w:rsid w:val="00DD34C2"/>
    <w:rsid w:val="00DF1BB6"/>
    <w:rsid w:val="00DF358D"/>
    <w:rsid w:val="00DF574B"/>
    <w:rsid w:val="00E03B6E"/>
    <w:rsid w:val="00E06E92"/>
    <w:rsid w:val="00E232CE"/>
    <w:rsid w:val="00E67DDA"/>
    <w:rsid w:val="00E75CF6"/>
    <w:rsid w:val="00E96E35"/>
    <w:rsid w:val="00EC6D0B"/>
    <w:rsid w:val="00F33981"/>
    <w:rsid w:val="00F4664C"/>
    <w:rsid w:val="00F5030D"/>
    <w:rsid w:val="00F8449C"/>
    <w:rsid w:val="00FA09A3"/>
    <w:rsid w:val="00FB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819"/>
  <w15:docId w15:val="{2CDF7F41-A943-8544-A0E5-1F000111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FB688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B6883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semiHidden/>
    <w:unhideWhenUsed/>
    <w:rsid w:val="00FB6883"/>
    <w:rPr>
      <w:vertAlign w:val="superscript"/>
    </w:rPr>
  </w:style>
  <w:style w:type="character" w:customStyle="1" w:styleId="citation-225">
    <w:name w:val="citation-225"/>
    <w:basedOn w:val="a0"/>
    <w:rsid w:val="00225D5E"/>
  </w:style>
  <w:style w:type="character" w:customStyle="1" w:styleId="apple-converted-space">
    <w:name w:val="apple-converted-space"/>
    <w:basedOn w:val="a0"/>
    <w:rsid w:val="00225D5E"/>
  </w:style>
  <w:style w:type="paragraph" w:styleId="af8">
    <w:name w:val="endnote text"/>
    <w:basedOn w:val="a"/>
    <w:link w:val="af9"/>
    <w:uiPriority w:val="99"/>
    <w:semiHidden/>
    <w:unhideWhenUsed/>
    <w:rsid w:val="00225D5E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25D5E"/>
    <w:rPr>
      <w:rFonts w:ascii="Times New Roman" w:hAnsi="Times New Roman"/>
      <w:sz w:val="20"/>
      <w:szCs w:val="20"/>
      <w:lang w:eastAsia="zh-CN"/>
    </w:rPr>
  </w:style>
  <w:style w:type="character" w:styleId="afa">
    <w:name w:val="endnote reference"/>
    <w:basedOn w:val="a0"/>
    <w:uiPriority w:val="99"/>
    <w:semiHidden/>
    <w:unhideWhenUsed/>
    <w:rsid w:val="00225D5E"/>
    <w:rPr>
      <w:vertAlign w:val="superscript"/>
    </w:rPr>
  </w:style>
  <w:style w:type="paragraph" w:customStyle="1" w:styleId="p1">
    <w:name w:val="p1"/>
    <w:basedOn w:val="a"/>
    <w:rsid w:val="00225D5E"/>
    <w:rPr>
      <w:rFonts w:ascii="Helvetica" w:eastAsia="Times New Roman" w:hAnsi="Helvetica"/>
      <w:color w:val="000000"/>
      <w:sz w:val="16"/>
      <w:szCs w:val="16"/>
      <w:lang w:eastAsia="ru-RU"/>
    </w:rPr>
  </w:style>
  <w:style w:type="paragraph" w:styleId="afb">
    <w:name w:val="Normal (Web)"/>
    <w:basedOn w:val="a"/>
    <w:uiPriority w:val="99"/>
    <w:unhideWhenUsed/>
    <w:rsid w:val="00225D5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itation-261">
    <w:name w:val="citation-261"/>
    <w:basedOn w:val="a0"/>
    <w:rsid w:val="00225D5E"/>
  </w:style>
  <w:style w:type="paragraph" w:styleId="HTML">
    <w:name w:val="HTML Preformatted"/>
    <w:basedOn w:val="a"/>
    <w:link w:val="HTML0"/>
    <w:uiPriority w:val="99"/>
    <w:unhideWhenUsed/>
    <w:rsid w:val="00DB5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F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DB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6807-6BC8-40B4-935A-19B1D7AC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Даниил Дорожкин</cp:lastModifiedBy>
  <cp:revision>2</cp:revision>
  <cp:lastPrinted>2020-01-28T05:09:00Z</cp:lastPrinted>
  <dcterms:created xsi:type="dcterms:W3CDTF">2026-03-02T20:46:00Z</dcterms:created>
  <dcterms:modified xsi:type="dcterms:W3CDTF">2026-03-02T20:46:00Z</dcterms:modified>
  <dc:language>ru-RU</dc:language>
</cp:coreProperties>
</file>