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581B" w14:textId="77777777" w:rsidR="00AC25DC" w:rsidRPr="004744CA" w:rsidRDefault="00AC25DC" w:rsidP="00AC25DC">
      <w:pPr>
        <w:jc w:val="center"/>
        <w:rPr>
          <w:rFonts w:eastAsia="Calibri"/>
          <w:b/>
          <w:bCs/>
        </w:rPr>
      </w:pPr>
      <w:bookmarkStart w:id="0" w:name="_Hlk215660204"/>
      <w:bookmarkEnd w:id="0"/>
      <w:r w:rsidRPr="004744CA">
        <w:rPr>
          <w:rFonts w:eastAsia="Calibri"/>
          <w:b/>
          <w:bCs/>
        </w:rPr>
        <w:t xml:space="preserve">Исследование динамики фазовой пачечной активности </w:t>
      </w:r>
      <w:r w:rsidRPr="004744CA">
        <w:rPr>
          <w:rFonts w:eastAsia="Calibri"/>
          <w:b/>
          <w:bCs/>
        </w:rPr>
        <w:br/>
        <w:t>в нейрональной модели Моррис-</w:t>
      </w:r>
      <w:proofErr w:type="spellStart"/>
      <w:r w:rsidRPr="004744CA">
        <w:rPr>
          <w:rFonts w:eastAsia="Calibri"/>
          <w:b/>
          <w:bCs/>
        </w:rPr>
        <w:t>Лекар</w:t>
      </w:r>
      <w:proofErr w:type="spellEnd"/>
    </w:p>
    <w:p w14:paraId="1E306364" w14:textId="77777777" w:rsidR="00AC25DC" w:rsidRDefault="00AC25DC" w:rsidP="00AC25DC">
      <w:pPr>
        <w:ind w:firstLine="426"/>
        <w:jc w:val="center"/>
        <w:rPr>
          <w:rStyle w:val="afc"/>
          <w:b/>
          <w:bCs/>
          <w:color w:val="000000"/>
          <w:shd w:val="clear" w:color="auto" w:fill="FFFFFF"/>
        </w:rPr>
      </w:pPr>
      <w:r w:rsidRPr="00AC25DC">
        <w:rPr>
          <w:rStyle w:val="afc"/>
          <w:b/>
          <w:bCs/>
          <w:color w:val="000000"/>
          <w:shd w:val="clear" w:color="auto" w:fill="FFFFFF"/>
        </w:rPr>
        <w:t>Буда М.А.</w:t>
      </w:r>
      <w:r w:rsidRPr="008E52E6">
        <w:rPr>
          <w:rStyle w:val="afc"/>
          <w:b/>
          <w:bCs/>
          <w:color w:val="000000"/>
          <w:shd w:val="clear" w:color="auto" w:fill="FFFFFF"/>
          <w:vertAlign w:val="superscript"/>
        </w:rPr>
        <w:t>1</w:t>
      </w:r>
      <w:r w:rsidRPr="00AC25DC">
        <w:rPr>
          <w:rStyle w:val="afc"/>
          <w:b/>
          <w:bCs/>
          <w:color w:val="000000"/>
          <w:shd w:val="clear" w:color="auto" w:fill="FFFFFF"/>
        </w:rPr>
        <w:t>, Сладков К.Д.</w:t>
      </w:r>
      <w:r w:rsidRPr="008E52E6">
        <w:rPr>
          <w:rStyle w:val="afc"/>
          <w:b/>
          <w:bCs/>
          <w:color w:val="000000"/>
          <w:shd w:val="clear" w:color="auto" w:fill="FFFFFF"/>
          <w:vertAlign w:val="superscript"/>
        </w:rPr>
        <w:t>2</w:t>
      </w:r>
    </w:p>
    <w:p w14:paraId="35927653" w14:textId="69E6944A" w:rsidR="00AC25DC" w:rsidRPr="00AC25DC" w:rsidRDefault="00000000" w:rsidP="00AC25DC">
      <w:pPr>
        <w:ind w:firstLine="426"/>
        <w:jc w:val="center"/>
        <w:rPr>
          <w:i/>
          <w:iCs/>
          <w:color w:val="000000"/>
          <w:shd w:val="clear" w:color="auto" w:fill="FFFFFF"/>
        </w:rPr>
      </w:pPr>
      <w:r>
        <w:rPr>
          <w:rStyle w:val="afc"/>
          <w:bCs/>
          <w:i w:val="0"/>
          <w:color w:val="000000"/>
          <w:shd w:val="clear" w:color="auto" w:fill="FFFFFF"/>
          <w:vertAlign w:val="superscript"/>
        </w:rPr>
        <w:t>1</w:t>
      </w:r>
      <w:r>
        <w:rPr>
          <w:rStyle w:val="afc"/>
          <w:color w:val="000000"/>
          <w:shd w:val="clear" w:color="auto" w:fill="FFFFFF"/>
        </w:rPr>
        <w:t>студент,</w:t>
      </w:r>
      <w:r>
        <w:rPr>
          <w:i/>
          <w:color w:val="000000"/>
          <w:shd w:val="clear" w:color="auto" w:fill="FFFFFF"/>
        </w:rPr>
        <w:t xml:space="preserve"> </w:t>
      </w:r>
      <w:r>
        <w:rPr>
          <w:rStyle w:val="afc"/>
          <w:bCs/>
          <w:i w:val="0"/>
          <w:color w:val="000000"/>
          <w:shd w:val="clear" w:color="auto" w:fill="FFFFFF"/>
          <w:vertAlign w:val="superscript"/>
        </w:rPr>
        <w:t>2</w:t>
      </w:r>
      <w:r w:rsidR="00CA79F1">
        <w:rPr>
          <w:i/>
          <w:color w:val="000000"/>
          <w:shd w:val="clear" w:color="auto" w:fill="FFFFFF"/>
        </w:rPr>
        <w:t>м.н.с.</w:t>
      </w:r>
    </w:p>
    <w:p w14:paraId="4ED20E84" w14:textId="77777777" w:rsidR="00AC25DC" w:rsidRPr="004744CA" w:rsidRDefault="00AC25DC" w:rsidP="00AC25DC">
      <w:pPr>
        <w:jc w:val="center"/>
        <w:rPr>
          <w:rFonts w:eastAsia="Calibri"/>
          <w:i/>
          <w:iCs/>
        </w:rPr>
      </w:pPr>
      <w:r w:rsidRPr="004744CA">
        <w:rPr>
          <w:rFonts w:eastAsia="Calibri"/>
          <w:i/>
          <w:iCs/>
          <w:vertAlign w:val="superscript"/>
        </w:rPr>
        <w:t>1</w:t>
      </w:r>
      <w:r w:rsidRPr="004744CA">
        <w:rPr>
          <w:rFonts w:eastAsia="Calibri"/>
          <w:i/>
          <w:iCs/>
        </w:rPr>
        <w:t>ИАТЭ НИЯУ МИФИ, г. Обнинск, Россия</w:t>
      </w:r>
    </w:p>
    <w:p w14:paraId="6B83B8EA" w14:textId="77777777" w:rsidR="00AC25DC" w:rsidRDefault="00AC25DC" w:rsidP="00AC25DC">
      <w:pPr>
        <w:jc w:val="center"/>
        <w:rPr>
          <w:rFonts w:eastAsia="Calibri"/>
          <w:i/>
          <w:iCs/>
        </w:rPr>
      </w:pPr>
      <w:r w:rsidRPr="004744CA">
        <w:rPr>
          <w:rFonts w:eastAsia="Calibri"/>
          <w:i/>
          <w:iCs/>
          <w:vertAlign w:val="superscript"/>
        </w:rPr>
        <w:t>2</w:t>
      </w:r>
      <w:r w:rsidRPr="004744CA">
        <w:rPr>
          <w:rFonts w:eastAsia="Calibri"/>
          <w:i/>
          <w:iCs/>
        </w:rPr>
        <w:t>ИБК РАН, г. Пущино, Россия</w:t>
      </w:r>
    </w:p>
    <w:p w14:paraId="5CCCE18A" w14:textId="53FA6A57" w:rsidR="00AC25DC" w:rsidRPr="005161CB" w:rsidRDefault="00AC25DC" w:rsidP="00AC25DC">
      <w:pPr>
        <w:jc w:val="center"/>
        <w:rPr>
          <w:rFonts w:eastAsia="Calibri"/>
          <w:i/>
          <w:iCs/>
        </w:rPr>
      </w:pPr>
      <w:r>
        <w:rPr>
          <w:rFonts w:eastAsia="Calibri"/>
          <w:i/>
          <w:iCs/>
          <w:lang w:val="en-US"/>
        </w:rPr>
        <w:t>Emal</w:t>
      </w:r>
      <w:r w:rsidRPr="005161CB">
        <w:rPr>
          <w:rFonts w:eastAsia="Calibri"/>
          <w:i/>
          <w:iCs/>
        </w:rPr>
        <w:t xml:space="preserve">: </w:t>
      </w:r>
      <w:proofErr w:type="spellStart"/>
      <w:r>
        <w:rPr>
          <w:rFonts w:eastAsia="Calibri"/>
          <w:i/>
          <w:iCs/>
          <w:lang w:val="en-US"/>
        </w:rPr>
        <w:t>buda</w:t>
      </w:r>
      <w:proofErr w:type="spellEnd"/>
      <w:r w:rsidRPr="005161CB">
        <w:rPr>
          <w:rFonts w:eastAsia="Calibri"/>
          <w:i/>
          <w:iCs/>
        </w:rPr>
        <w:t>.</w:t>
      </w:r>
      <w:proofErr w:type="spellStart"/>
      <w:r>
        <w:rPr>
          <w:rFonts w:eastAsia="Calibri"/>
          <w:i/>
          <w:iCs/>
          <w:lang w:val="en-US"/>
        </w:rPr>
        <w:t>marya</w:t>
      </w:r>
      <w:proofErr w:type="spellEnd"/>
      <w:r w:rsidRPr="005161CB">
        <w:rPr>
          <w:rFonts w:eastAsia="Calibri"/>
          <w:i/>
          <w:iCs/>
        </w:rPr>
        <w:t>@</w:t>
      </w:r>
      <w:proofErr w:type="spellStart"/>
      <w:r>
        <w:rPr>
          <w:rFonts w:eastAsia="Calibri"/>
          <w:i/>
          <w:iCs/>
          <w:lang w:val="en-US"/>
        </w:rPr>
        <w:t>yandex</w:t>
      </w:r>
      <w:proofErr w:type="spellEnd"/>
      <w:r w:rsidRPr="005161CB">
        <w:rPr>
          <w:rFonts w:eastAsia="Calibri"/>
          <w:i/>
          <w:iCs/>
        </w:rPr>
        <w:t>.</w:t>
      </w:r>
      <w:proofErr w:type="spellStart"/>
      <w:r>
        <w:rPr>
          <w:rFonts w:eastAsia="Calibri"/>
          <w:i/>
          <w:iCs/>
          <w:lang w:val="en-US"/>
        </w:rPr>
        <w:t>ru</w:t>
      </w:r>
      <w:proofErr w:type="spellEnd"/>
    </w:p>
    <w:p w14:paraId="07C35DE3" w14:textId="77777777" w:rsidR="00AC25DC" w:rsidRPr="005161CB" w:rsidRDefault="00AC25DC" w:rsidP="00AC25DC">
      <w:pPr>
        <w:jc w:val="both"/>
        <w:rPr>
          <w:rFonts w:eastAsia="Calibri"/>
          <w:i/>
          <w:iCs/>
        </w:rPr>
      </w:pPr>
    </w:p>
    <w:p w14:paraId="6CF57F97" w14:textId="77777777" w:rsidR="00AC25DC" w:rsidRPr="004744CA" w:rsidRDefault="00AC25DC" w:rsidP="00AC25DC">
      <w:pPr>
        <w:ind w:firstLine="708"/>
        <w:jc w:val="both"/>
      </w:pPr>
      <w:r w:rsidRPr="004744CA">
        <w:t>Нейронные модели делятся на биофизические и феноменологические. Биофизические модели (например, Ходжкин–Хаксли, Моррис–</w:t>
      </w:r>
      <w:proofErr w:type="spellStart"/>
      <w:r w:rsidRPr="004744CA">
        <w:t>Лекар</w:t>
      </w:r>
      <w:proofErr w:type="spellEnd"/>
      <w:r w:rsidRPr="004744CA">
        <w:t xml:space="preserve">) описывают динамику мембранного потенциала системой нелинейных дифференциальных уравнений, моделирующей мембрану как конденсатор с нелинейно зависящими от потенциала ионными токами. Феноменологические модели (например, </w:t>
      </w:r>
      <w:proofErr w:type="spellStart"/>
      <w:r w:rsidRPr="004744CA">
        <w:t>Ижикевич</w:t>
      </w:r>
      <w:proofErr w:type="spellEnd"/>
      <w:r w:rsidRPr="004744CA">
        <w:t xml:space="preserve">, </w:t>
      </w:r>
      <w:proofErr w:type="spellStart"/>
      <w:r w:rsidRPr="004744CA">
        <w:t>ФитцХью</w:t>
      </w:r>
      <w:proofErr w:type="spellEnd"/>
      <w:r w:rsidRPr="004744CA">
        <w:t>–</w:t>
      </w:r>
      <w:proofErr w:type="spellStart"/>
      <w:r w:rsidRPr="004744CA">
        <w:t>Нагумо</w:t>
      </w:r>
      <w:proofErr w:type="spellEnd"/>
      <w:r w:rsidRPr="004744CA">
        <w:t xml:space="preserve">) используют аналогичные нелинейные принципы для воспроизведения разнообразных нейронных режимов, но не стремятся к биофизической точности ионных механизмов. </w:t>
      </w:r>
    </w:p>
    <w:p w14:paraId="212CB18D" w14:textId="77777777" w:rsidR="00AC25DC" w:rsidRPr="004744CA" w:rsidRDefault="00AC25DC" w:rsidP="00AC25DC">
      <w:pPr>
        <w:ind w:firstLine="708"/>
        <w:jc w:val="both"/>
      </w:pPr>
      <w:r w:rsidRPr="004744CA">
        <w:t xml:space="preserve">В классификации </w:t>
      </w:r>
      <w:proofErr w:type="spellStart"/>
      <w:r w:rsidRPr="004744CA">
        <w:t>Ижикевича</w:t>
      </w:r>
      <w:proofErr w:type="spellEnd"/>
      <w:r w:rsidRPr="004744CA">
        <w:t xml:space="preserve"> долгое время считалось, что биофизические модели класса Моррис–</w:t>
      </w:r>
      <w:proofErr w:type="spellStart"/>
      <w:r w:rsidRPr="004744CA">
        <w:t>Лекар</w:t>
      </w:r>
      <w:proofErr w:type="spellEnd"/>
      <w:r w:rsidRPr="004744CA">
        <w:t xml:space="preserve"> и Ходжкин–Хаксли неспособны демонстрировать пачечную фазовую активность без сложных параметрических настроек. Недавние работы показали, что такие режимы возникают при определённых комбинациях параметров, однако системного аналитического описания границ этих фазовых переходов не было. В данной работе проведен нелинейный анализ и численный скан параметров, построена карта фазовой пачечной активности модели Моррис–</w:t>
      </w:r>
      <w:proofErr w:type="spellStart"/>
      <w:r w:rsidRPr="004744CA">
        <w:t>Лекар</w:t>
      </w:r>
      <w:proofErr w:type="spellEnd"/>
      <w:r w:rsidRPr="004744CA">
        <w:t>.</w:t>
      </w:r>
    </w:p>
    <w:p w14:paraId="4AA44510" w14:textId="77777777" w:rsidR="00AC25DC" w:rsidRPr="004744CA" w:rsidRDefault="00AC25DC" w:rsidP="00AC25DC">
      <w:pPr>
        <w:ind w:firstLine="708"/>
        <w:jc w:val="both"/>
      </w:pPr>
      <w:r w:rsidRPr="004744CA">
        <w:t xml:space="preserve">Модель анализирует нелинейный вклад кальциевого (возбуждающий), калиевого (восстанавливающий) и тока утечки. Динамика переменных (мембранный потенциал </w:t>
      </w:r>
      <w:r w:rsidRPr="004744CA">
        <w:rPr>
          <w:i/>
          <w:iCs/>
        </w:rPr>
        <w:t>V</w:t>
      </w:r>
      <w:r w:rsidRPr="004744CA">
        <w:t xml:space="preserve"> и степень открытия каналов </w:t>
      </w:r>
      <w:r w:rsidRPr="004744CA">
        <w:rPr>
          <w:i/>
          <w:iCs/>
        </w:rPr>
        <w:t>n</w:t>
      </w:r>
      <w:r w:rsidRPr="004744CA">
        <w:t>) задаётся системой двух нелинейных уравнений, где вся нелинейность обусловлена активацией ионных каналов от потенциала и медленными переменными восстановления:</w:t>
      </w:r>
    </w:p>
    <w:p w14:paraId="1AFA64A9" w14:textId="77777777" w:rsidR="00AC25DC" w:rsidRPr="004744CA" w:rsidRDefault="00000000" w:rsidP="00AC25DC">
      <w:pPr>
        <w:jc w:val="both"/>
      </w:pPr>
      <m:oMathPara>
        <m:oMath>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C</m:t>
                  </m:r>
                  <m:acc>
                    <m:accPr>
                      <m:chr m:val="̇"/>
                      <m:ctrlPr>
                        <w:rPr>
                          <w:rFonts w:ascii="Cambria Math" w:hAnsi="Cambria Math"/>
                          <w:i/>
                          <w:lang w:val="en-US"/>
                        </w:rPr>
                      </m:ctrlPr>
                    </m:accPr>
                    <m:e>
                      <m:r>
                        <w:rPr>
                          <w:rFonts w:ascii="Cambria Math" w:hAnsi="Cambria Math"/>
                          <w:lang w:val="en-US"/>
                        </w:rPr>
                        <m:t>V</m:t>
                      </m:r>
                    </m:e>
                  </m:acc>
                  <m:r>
                    <w:rPr>
                      <w:rFonts w:ascii="Cambria Math" w:hAnsi="Cambria Math"/>
                    </w:rPr>
                    <m:t>=</m:t>
                  </m:r>
                  <m:r>
                    <w:rPr>
                      <w:rFonts w:ascii="Cambria Math" w:hAnsi="Cambria Math"/>
                      <w:lang w:val="en-US"/>
                    </w:rPr>
                    <m:t>I</m:t>
                  </m:r>
                  <m:r>
                    <w:rPr>
                      <w:rFonts w:ascii="Cambria Math" w:hAnsi="Cambria Math"/>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Ca</m:t>
                      </m:r>
                    </m:sub>
                  </m:sSub>
                  <m:r>
                    <w:rPr>
                      <w:rFonts w:ascii="Cambria Math" w:hAnsi="Cambria Math"/>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K</m:t>
                      </m:r>
                    </m:sub>
                  </m:sSub>
                  <m:r>
                    <w:rPr>
                      <w:rFonts w:ascii="Cambria Math" w:hAnsi="Cambria Math"/>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L</m:t>
                      </m:r>
                    </m:sub>
                  </m:sSub>
                </m:e>
                <m:e>
                  <m:acc>
                    <m:accPr>
                      <m:chr m:val="̇"/>
                      <m:ctrlPr>
                        <w:rPr>
                          <w:rFonts w:ascii="Cambria Math" w:hAnsi="Cambria Math"/>
                          <w:i/>
                          <w:lang w:val="en-US"/>
                        </w:rPr>
                      </m:ctrlPr>
                    </m:accPr>
                    <m:e>
                      <m:r>
                        <w:rPr>
                          <w:rFonts w:ascii="Cambria Math" w:hAnsi="Cambria Math"/>
                          <w:lang w:val="en-US"/>
                        </w:rPr>
                        <m:t>n</m:t>
                      </m:r>
                    </m:e>
                  </m:acc>
                  <m:r>
                    <w:rPr>
                      <w:rFonts w:ascii="Cambria Math" w:hAnsi="Cambria Math"/>
                    </w:rPr>
                    <m:t>=</m:t>
                  </m:r>
                  <m:f>
                    <m:fPr>
                      <m:ctrlPr>
                        <w:rPr>
                          <w:rFonts w:ascii="Cambria Math" w:hAnsi="Cambria Math"/>
                          <w:i/>
                          <w:lang w:val="en-US"/>
                        </w:rPr>
                      </m:ctrlPr>
                    </m:fPr>
                    <m:num>
                      <m:r>
                        <w:rPr>
                          <w:rFonts w:ascii="Cambria Math" w:hAnsi="Cambria Math"/>
                        </w:rPr>
                        <m:t>(</m:t>
                      </m:r>
                      <m:sSub>
                        <m:sSubPr>
                          <m:ctrlPr>
                            <w:rPr>
                              <w:rFonts w:ascii="Cambria Math" w:hAnsi="Cambria Math"/>
                              <w:i/>
                              <w:lang w:val="en-US"/>
                            </w:rPr>
                          </m:ctrlPr>
                        </m:sSubPr>
                        <m:e>
                          <m:r>
                            <w:rPr>
                              <w:rFonts w:ascii="Cambria Math" w:hAnsi="Cambria Math"/>
                              <w:lang w:val="en-US"/>
                            </w:rPr>
                            <m:t>n</m:t>
                          </m:r>
                        </m:e>
                        <m:sub>
                          <m:r>
                            <w:rPr>
                              <w:rFonts w:ascii="Cambria Math" w:hAnsi="Cambria Math"/>
                            </w:rPr>
                            <m:t>∞</m:t>
                          </m:r>
                        </m:sub>
                      </m:sSub>
                      <m:r>
                        <w:rPr>
                          <w:rFonts w:ascii="Cambria Math" w:hAnsi="Cambria Math"/>
                        </w:rPr>
                        <m:t>-</m:t>
                      </m:r>
                      <m:r>
                        <w:rPr>
                          <w:rFonts w:ascii="Cambria Math" w:hAnsi="Cambria Math"/>
                          <w:lang w:val="en-US"/>
                        </w:rPr>
                        <m:t>n</m:t>
                      </m:r>
                      <m:r>
                        <w:rPr>
                          <w:rFonts w:ascii="Cambria Math" w:hAnsi="Cambria Math"/>
                        </w:rPr>
                        <m:t>)</m:t>
                      </m:r>
                    </m:num>
                    <m:den>
                      <m:sSub>
                        <m:sSubPr>
                          <m:ctrlPr>
                            <w:rPr>
                              <w:rFonts w:ascii="Cambria Math" w:hAnsi="Cambria Math"/>
                              <w:i/>
                              <w:lang w:val="en-US"/>
                            </w:rPr>
                          </m:ctrlPr>
                        </m:sSubPr>
                        <m:e>
                          <m:r>
                            <w:rPr>
                              <w:rFonts w:ascii="Cambria Math" w:hAnsi="Cambria Math"/>
                              <w:lang w:val="en-US"/>
                            </w:rPr>
                            <m:t>τ</m:t>
                          </m:r>
                        </m:e>
                        <m:sub>
                          <m:r>
                            <w:rPr>
                              <w:rFonts w:ascii="Cambria Math" w:hAnsi="Cambria Math"/>
                              <w:lang w:val="en-US"/>
                            </w:rPr>
                            <m:t>a</m:t>
                          </m:r>
                        </m:sub>
                      </m:sSub>
                    </m:den>
                  </m:f>
                </m:e>
              </m:eqArr>
            </m:e>
          </m:d>
        </m:oMath>
      </m:oMathPara>
    </w:p>
    <w:p w14:paraId="12F465D0" w14:textId="77777777" w:rsidR="00AC25DC" w:rsidRPr="004744CA" w:rsidRDefault="00AC25DC" w:rsidP="00AC25DC">
      <w:pPr>
        <w:jc w:val="both"/>
      </w:pPr>
      <w:r w:rsidRPr="004744CA">
        <w:t xml:space="preserve">Где </w:t>
      </w:r>
      <w:r w:rsidRPr="004744CA">
        <w:rPr>
          <w:i/>
          <w:iCs/>
          <w:lang w:val="en-US"/>
        </w:rPr>
        <w:t>C</w:t>
      </w:r>
      <w:r w:rsidRPr="004744CA">
        <w:t xml:space="preserve"> – мембранная ёмкость, </w:t>
      </w:r>
      <w:r w:rsidRPr="004744CA">
        <w:rPr>
          <w:i/>
          <w:iCs/>
          <w:lang w:val="en-US"/>
        </w:rPr>
        <w:t>V</w:t>
      </w:r>
      <w:r w:rsidRPr="004744CA">
        <w:t xml:space="preserve"> – мембранный потенциал нейрона, </w:t>
      </w:r>
      <w:r w:rsidRPr="004744CA">
        <w:rPr>
          <w:i/>
          <w:iCs/>
          <w:lang w:val="en-US"/>
        </w:rPr>
        <w:t>I</w:t>
      </w:r>
      <w:r w:rsidRPr="004744CA">
        <w:t xml:space="preserve"> – внешний ток,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Ca</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K</m:t>
            </m:r>
          </m:sub>
        </m:sSub>
        <m:r>
          <w:rPr>
            <w:rFonts w:ascii="Cambria Math" w:hAnsi="Cambria Math"/>
          </w:rPr>
          <m:t xml:space="preserve">, </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L</m:t>
            </m:r>
          </m:sub>
        </m:sSub>
      </m:oMath>
      <w:r w:rsidRPr="004744CA">
        <w:rPr>
          <w:rFonts w:eastAsiaTheme="minorEastAsia"/>
        </w:rPr>
        <w:t xml:space="preserve"> – ионные токи; </w:t>
      </w:r>
      <m:oMath>
        <m:acc>
          <m:accPr>
            <m:chr m:val="̇"/>
            <m:ctrlPr>
              <w:rPr>
                <w:rFonts w:ascii="Cambria Math" w:hAnsi="Cambria Math"/>
                <w:i/>
                <w:lang w:val="en-US"/>
              </w:rPr>
            </m:ctrlPr>
          </m:accPr>
          <m:e>
            <m:r>
              <w:rPr>
                <w:rFonts w:ascii="Cambria Math" w:hAnsi="Cambria Math"/>
                <w:lang w:val="en-US"/>
              </w:rPr>
              <m:t>n</m:t>
            </m:r>
          </m:e>
        </m:acc>
      </m:oMath>
      <w:r w:rsidRPr="004744CA">
        <w:rPr>
          <w:rFonts w:eastAsiaTheme="minorEastAsia"/>
        </w:rPr>
        <w:t xml:space="preserve"> – переменная открытия, описывающая состояние калиевых каналов</w:t>
      </w:r>
    </w:p>
    <w:p w14:paraId="44F29BCD" w14:textId="4CF9C92F" w:rsidR="00AC25DC" w:rsidRPr="004744CA" w:rsidRDefault="00AC25DC" w:rsidP="00AC25DC">
      <w:pPr>
        <w:ind w:firstLine="708"/>
        <w:jc w:val="both"/>
      </w:pPr>
      <w:r w:rsidRPr="004744CA">
        <w:t xml:space="preserve">Задавая биофизические параметры модели и для каждого значения входного тока численно определяя стационарное состояние, нам удалось определить равновесный потенциал нейрона, являющийся начальным условием. На этой базе моделировалась динамика мембранного потенциала при токовых стимулах, с последующей автоматической детекцией и подсчётом числа спайков в пачке для разных параметров. При варьировании тока и кальциевой проводимости строились фазовые диаграммы и вычислялись след и определитель Якобиана в равновесии, что позволяло проследить изменение устойчивости и выделить области нелинейных переходов между покоем, тоническим </w:t>
      </w:r>
      <w:proofErr w:type="spellStart"/>
      <w:r w:rsidRPr="004744CA">
        <w:t>спайкингом</w:t>
      </w:r>
      <w:proofErr w:type="spellEnd"/>
      <w:r w:rsidRPr="004744CA">
        <w:t xml:space="preserve"> и фазовой пачечной активностью</w:t>
      </w:r>
      <w:r w:rsidR="0030727B">
        <w:t xml:space="preserve"> (рис. 1А)</w:t>
      </w:r>
      <w:r w:rsidRPr="004744CA">
        <w:t>.</w:t>
      </w:r>
    </w:p>
    <w:p w14:paraId="2A4FED01" w14:textId="77777777" w:rsidR="00AC25DC" w:rsidRPr="004744CA" w:rsidRDefault="00AC25DC" w:rsidP="00AC25DC">
      <w:pPr>
        <w:ind w:firstLine="708"/>
        <w:jc w:val="both"/>
      </w:pPr>
      <w:r w:rsidRPr="004744CA">
        <w:t>Численный анализ выявил, что фазовая пачечная активность возникает в определённом диапазоне входного параметра (рис. 1А), при котором равновесное состояние остается устойчивым, но система приближается к границам потери устойчивости в седло-узловой бифуркации на инвариантной окружности. Рост входного тока сопровождается монотонным увеличением числа спайков в пачке (рис. 1Б).</w:t>
      </w:r>
    </w:p>
    <w:p w14:paraId="5743F78F" w14:textId="77B7E55A" w:rsidR="00AC25DC" w:rsidRDefault="00AC25DC" w:rsidP="00AC25DC">
      <w:pPr>
        <w:ind w:firstLine="708"/>
        <w:jc w:val="both"/>
      </w:pPr>
      <w:r w:rsidRPr="004744CA">
        <w:t>Проведенное исследование определяет границы нелинейных фазовых переходов от стационарного состояния к пачечной активности. Анализы фазовых плоскостей (рис. 1В) модели Морриса–</w:t>
      </w:r>
      <w:proofErr w:type="spellStart"/>
      <w:r w:rsidRPr="004744CA">
        <w:t>Лекара</w:t>
      </w:r>
      <w:proofErr w:type="spellEnd"/>
      <w:r w:rsidRPr="004744CA">
        <w:t xml:space="preserve"> показали, что при варьировании двух управляющих </w:t>
      </w:r>
      <w:r w:rsidRPr="004744CA">
        <w:lastRenderedPageBreak/>
        <w:t xml:space="preserve">параметров можно локализовать области, где возникают режимы фазовой пачечной </w:t>
      </w:r>
      <w:r w:rsidR="0030727B" w:rsidRPr="0030727B">
        <w:rPr>
          <w:noProof/>
        </w:rPr>
        <w:drawing>
          <wp:anchor distT="0" distB="0" distL="114300" distR="114300" simplePos="0" relativeHeight="251658240" behindDoc="0" locked="0" layoutInCell="1" allowOverlap="1" wp14:anchorId="4118413D" wp14:editId="25A7F1A2">
            <wp:simplePos x="0" y="0"/>
            <wp:positionH relativeFrom="column">
              <wp:posOffset>-46990</wp:posOffset>
            </wp:positionH>
            <wp:positionV relativeFrom="paragraph">
              <wp:posOffset>435726</wp:posOffset>
            </wp:positionV>
            <wp:extent cx="5831840" cy="1294130"/>
            <wp:effectExtent l="0" t="0" r="0" b="1270"/>
            <wp:wrapTopAndBottom/>
            <wp:docPr id="14" name="Рисунок 13">
              <a:extLst xmlns:a="http://schemas.openxmlformats.org/drawingml/2006/main">
                <a:ext uri="{FF2B5EF4-FFF2-40B4-BE49-F238E27FC236}">
                  <a16:creationId xmlns:a16="http://schemas.microsoft.com/office/drawing/2014/main" id="{9F4AE17E-F7DC-F0BD-FFB8-84918EBA65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9F4AE17E-F7DC-F0BD-FFB8-84918EBA65F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31840" cy="1294130"/>
                    </a:xfrm>
                    <a:prstGeom prst="rect">
                      <a:avLst/>
                    </a:prstGeom>
                  </pic:spPr>
                </pic:pic>
              </a:graphicData>
            </a:graphic>
          </wp:anchor>
        </w:drawing>
      </w:r>
      <w:r w:rsidRPr="004744CA">
        <w:t>активности. </w:t>
      </w:r>
    </w:p>
    <w:p w14:paraId="657D0BA1" w14:textId="4C0F0822" w:rsidR="00AC25DC" w:rsidRPr="004744CA" w:rsidRDefault="00AC25DC" w:rsidP="0030727B">
      <w:pPr>
        <w:jc w:val="both"/>
      </w:pPr>
    </w:p>
    <w:p w14:paraId="093401CC" w14:textId="77777777" w:rsidR="00AC25DC" w:rsidRPr="004744CA" w:rsidRDefault="00AC25DC" w:rsidP="00AC25DC">
      <w:pPr>
        <w:jc w:val="center"/>
      </w:pPr>
      <w:r w:rsidRPr="004744CA">
        <w:t xml:space="preserve">Рисунок 1. 1А график зависимости числа спайков в фазовой пачке от величины стимулирующего тока; 1Б </w:t>
      </w:r>
      <w:proofErr w:type="spellStart"/>
      <w:r w:rsidRPr="004744CA">
        <w:t>бифуркационная</w:t>
      </w:r>
      <w:proofErr w:type="spellEnd"/>
      <w:r w:rsidRPr="004744CA">
        <w:t xml:space="preserve"> диаграмма; 1В график числа спайков зависимости от величины тока и проводимости кальциевого канала</w:t>
      </w:r>
    </w:p>
    <w:p w14:paraId="2B35AE93" w14:textId="77777777" w:rsidR="00AC25DC" w:rsidRPr="004744CA" w:rsidRDefault="00AC25DC" w:rsidP="00AC25DC">
      <w:pPr>
        <w:ind w:firstLine="708"/>
        <w:jc w:val="both"/>
      </w:pPr>
      <w:r w:rsidRPr="004744CA">
        <w:t>Выполненный анализ модели Моррис–</w:t>
      </w:r>
      <w:proofErr w:type="spellStart"/>
      <w:r w:rsidRPr="004744CA">
        <w:t>Лекар</w:t>
      </w:r>
      <w:proofErr w:type="spellEnd"/>
      <w:r w:rsidRPr="004744CA">
        <w:t xml:space="preserve"> позволил выделить области фазовой пачечной активности на параметрической плоскости, отражающие переходы между различными режимами активности нейрона. В заключение, проведённый анализ показывает, что модель Моррис–</w:t>
      </w:r>
      <w:proofErr w:type="spellStart"/>
      <w:r w:rsidRPr="004744CA">
        <w:t>Лекар</w:t>
      </w:r>
      <w:proofErr w:type="spellEnd"/>
      <w:r w:rsidRPr="004744CA">
        <w:t xml:space="preserve"> демонстрирует богатый спектр нелинейных режимов. Выделенные на параметрических диаграммах области пачечной активности в плоскости «входной ток – кальциевая проводимость» наглядно связывают изменение управляющих параметров с качественной перестройкой динамики нейрона. Полученные результаты подчёркивают роль нелинейных механизмов ионной проводимости в формировании сложных паттернов возбуждения и могут служить дополнением в исследовании нейронных сетей и одиночных нейронов, демонстрирующих фазовую пачечную активность.</w:t>
      </w:r>
    </w:p>
    <w:p w14:paraId="45771179" w14:textId="77777777" w:rsidR="00AC25DC" w:rsidRPr="00AC25DC" w:rsidRDefault="00AC25DC" w:rsidP="00AC25DC">
      <w:pPr>
        <w:jc w:val="both"/>
        <w:rPr>
          <w:lang w:val="en-US"/>
        </w:rPr>
      </w:pPr>
      <w:r w:rsidRPr="004744CA">
        <w:t>Литература</w:t>
      </w:r>
    </w:p>
    <w:p w14:paraId="03E62128" w14:textId="77777777" w:rsidR="00AC25DC" w:rsidRPr="00AC25DC" w:rsidRDefault="00AC25DC" w:rsidP="00AC25DC">
      <w:pPr>
        <w:pStyle w:val="a3"/>
        <w:numPr>
          <w:ilvl w:val="0"/>
          <w:numId w:val="7"/>
        </w:numPr>
        <w:jc w:val="both"/>
        <w:rPr>
          <w:lang w:val="en-US"/>
        </w:rPr>
      </w:pPr>
      <w:proofErr w:type="spellStart"/>
      <w:r w:rsidRPr="00AC25DC">
        <w:rPr>
          <w:lang w:val="en-US"/>
        </w:rPr>
        <w:t>Izhikevich</w:t>
      </w:r>
      <w:proofErr w:type="spellEnd"/>
      <w:r w:rsidRPr="00AC25DC">
        <w:rPr>
          <w:lang w:val="en-US"/>
        </w:rPr>
        <w:t>, E. M. (2018). </w:t>
      </w:r>
      <w:r w:rsidRPr="00AC25DC">
        <w:rPr>
          <w:i/>
          <w:iCs/>
          <w:lang w:val="en-US"/>
        </w:rPr>
        <w:t>Dynamical systems in neuroscience: The geometry of excitability and bursting</w:t>
      </w:r>
      <w:r w:rsidRPr="00AC25DC">
        <w:rPr>
          <w:lang w:val="en-US"/>
        </w:rPr>
        <w:t>. MIT Press. (Original work published 2007)</w:t>
      </w:r>
    </w:p>
    <w:p w14:paraId="2E92B8F9" w14:textId="77777777" w:rsidR="00AC25DC" w:rsidRPr="00AC25DC" w:rsidRDefault="00AC25DC" w:rsidP="00AC25DC">
      <w:pPr>
        <w:pStyle w:val="a3"/>
        <w:numPr>
          <w:ilvl w:val="0"/>
          <w:numId w:val="7"/>
        </w:numPr>
        <w:jc w:val="both"/>
        <w:rPr>
          <w:lang w:val="en-US"/>
        </w:rPr>
      </w:pPr>
      <w:proofErr w:type="spellStart"/>
      <w:r w:rsidRPr="00AC25DC">
        <w:rPr>
          <w:lang w:val="en-US"/>
        </w:rPr>
        <w:t>Izhikevich</w:t>
      </w:r>
      <w:proofErr w:type="spellEnd"/>
      <w:r w:rsidRPr="00AC25DC">
        <w:rPr>
          <w:lang w:val="en-US"/>
        </w:rPr>
        <w:t>, E. M. (2004). Which model to use for cortical spiking neurons? </w:t>
      </w:r>
      <w:r w:rsidRPr="00AC25DC">
        <w:rPr>
          <w:i/>
          <w:iCs/>
          <w:lang w:val="en-US"/>
        </w:rPr>
        <w:t>IEEE Transactions on Neural Networks, 15</w:t>
      </w:r>
      <w:r w:rsidRPr="00AC25DC">
        <w:rPr>
          <w:lang w:val="en-US"/>
        </w:rPr>
        <w:t>(5), 1063–1070</w:t>
      </w:r>
    </w:p>
    <w:p w14:paraId="4DCF0033" w14:textId="77777777" w:rsidR="00AC25DC" w:rsidRPr="00AC25DC" w:rsidRDefault="00AC25DC" w:rsidP="00AC25DC">
      <w:pPr>
        <w:pStyle w:val="a3"/>
        <w:numPr>
          <w:ilvl w:val="0"/>
          <w:numId w:val="7"/>
        </w:numPr>
        <w:jc w:val="both"/>
        <w:rPr>
          <w:lang w:val="en-US"/>
        </w:rPr>
      </w:pPr>
      <w:proofErr w:type="spellStart"/>
      <w:r w:rsidRPr="00AC25DC">
        <w:rPr>
          <w:lang w:val="en-US"/>
        </w:rPr>
        <w:t>Kirigeeganage</w:t>
      </w:r>
      <w:proofErr w:type="spellEnd"/>
      <w:r w:rsidRPr="00AC25DC">
        <w:rPr>
          <w:lang w:val="en-US"/>
        </w:rPr>
        <w:t>, S., &amp; Naber, J. (n.d.). </w:t>
      </w:r>
      <w:r w:rsidRPr="00AC25DC">
        <w:rPr>
          <w:i/>
          <w:iCs/>
          <w:lang w:val="en-US"/>
        </w:rPr>
        <w:t xml:space="preserve">Modeling the bursting behavior of the Hodgkin-Huxley neurons using genetic </w:t>
      </w:r>
      <w:proofErr w:type="gramStart"/>
      <w:r w:rsidRPr="00AC25DC">
        <w:rPr>
          <w:i/>
          <w:iCs/>
          <w:lang w:val="en-US"/>
        </w:rPr>
        <w:t>algorithm based</w:t>
      </w:r>
      <w:proofErr w:type="gramEnd"/>
      <w:r w:rsidRPr="00AC25DC">
        <w:rPr>
          <w:i/>
          <w:iCs/>
          <w:lang w:val="en-US"/>
        </w:rPr>
        <w:t xml:space="preserve"> parameter search</w:t>
      </w:r>
      <w:r w:rsidRPr="00AC25DC">
        <w:rPr>
          <w:lang w:val="en-US"/>
        </w:rPr>
        <w:t>. Electrical and Computer Engineering, University of Louisville.</w:t>
      </w:r>
    </w:p>
    <w:p w14:paraId="194772E8" w14:textId="77777777" w:rsidR="00AC25DC" w:rsidRPr="004744CA" w:rsidRDefault="00AC25DC" w:rsidP="00AC25DC">
      <w:pPr>
        <w:pStyle w:val="a3"/>
        <w:numPr>
          <w:ilvl w:val="0"/>
          <w:numId w:val="7"/>
        </w:numPr>
        <w:jc w:val="both"/>
      </w:pPr>
      <w:r w:rsidRPr="004744CA">
        <w:t>Кириллов</w:t>
      </w:r>
      <w:r w:rsidRPr="005161CB">
        <w:t xml:space="preserve"> </w:t>
      </w:r>
      <w:r w:rsidRPr="00AC25DC">
        <w:rPr>
          <w:lang w:val="en-US"/>
        </w:rPr>
        <w:t>C</w:t>
      </w:r>
      <w:r w:rsidRPr="005161CB">
        <w:t xml:space="preserve">. </w:t>
      </w:r>
      <w:r w:rsidRPr="004744CA">
        <w:t>Ю</w:t>
      </w:r>
      <w:r w:rsidRPr="005161CB">
        <w:t xml:space="preserve">., </w:t>
      </w:r>
      <w:proofErr w:type="spellStart"/>
      <w:r w:rsidRPr="004744CA">
        <w:t>Некоркин</w:t>
      </w:r>
      <w:proofErr w:type="spellEnd"/>
      <w:r w:rsidRPr="005161CB">
        <w:t xml:space="preserve"> </w:t>
      </w:r>
      <w:r w:rsidRPr="004744CA">
        <w:t>В</w:t>
      </w:r>
      <w:r w:rsidRPr="005161CB">
        <w:t xml:space="preserve">. </w:t>
      </w:r>
      <w:r w:rsidRPr="004744CA">
        <w:t>И</w:t>
      </w:r>
      <w:r w:rsidRPr="005161CB">
        <w:t xml:space="preserve">. </w:t>
      </w:r>
      <w:r w:rsidRPr="004744CA">
        <w:t>Динамическая</w:t>
      </w:r>
      <w:r w:rsidRPr="005161CB">
        <w:t xml:space="preserve"> </w:t>
      </w:r>
      <w:r w:rsidRPr="004744CA">
        <w:t>седло</w:t>
      </w:r>
      <w:r w:rsidRPr="005161CB">
        <w:t>-</w:t>
      </w:r>
      <w:r w:rsidRPr="004744CA">
        <w:t>узловая</w:t>
      </w:r>
      <w:r w:rsidRPr="005161CB">
        <w:t xml:space="preserve"> </w:t>
      </w:r>
      <w:r w:rsidRPr="004744CA">
        <w:t>бифуркация</w:t>
      </w:r>
      <w:r w:rsidRPr="005161CB">
        <w:t xml:space="preserve"> </w:t>
      </w:r>
      <w:r w:rsidRPr="004744CA">
        <w:t>предельных</w:t>
      </w:r>
      <w:r w:rsidRPr="005161CB">
        <w:t xml:space="preserve"> </w:t>
      </w:r>
      <w:r w:rsidRPr="004744CA">
        <w:t>циклов</w:t>
      </w:r>
      <w:r w:rsidRPr="005161CB">
        <w:t xml:space="preserve"> </w:t>
      </w:r>
      <w:r w:rsidRPr="004744CA">
        <w:t>в</w:t>
      </w:r>
      <w:r w:rsidRPr="005161CB">
        <w:t xml:space="preserve"> </w:t>
      </w:r>
      <w:r w:rsidRPr="004744CA">
        <w:t>модели</w:t>
      </w:r>
      <w:r w:rsidRPr="005161CB">
        <w:t xml:space="preserve"> </w:t>
      </w:r>
      <w:r w:rsidRPr="004744CA">
        <w:t>нейронной</w:t>
      </w:r>
      <w:r w:rsidRPr="005161CB">
        <w:t xml:space="preserve"> </w:t>
      </w:r>
      <w:r w:rsidRPr="004744CA">
        <w:t>возбудимости</w:t>
      </w:r>
      <w:r w:rsidRPr="005161CB">
        <w:t xml:space="preserve"> // </w:t>
      </w:r>
      <w:r w:rsidRPr="004744CA">
        <w:t>Известия</w:t>
      </w:r>
      <w:r w:rsidRPr="005161CB">
        <w:t xml:space="preserve"> </w:t>
      </w:r>
      <w:r w:rsidRPr="004744CA">
        <w:t>вузов</w:t>
      </w:r>
      <w:r w:rsidRPr="005161CB">
        <w:t xml:space="preserve">. </w:t>
      </w:r>
      <w:r w:rsidRPr="004744CA">
        <w:t>Радиофизика. – 2014. – Т. 57, № 11. – С. 934–946</w:t>
      </w:r>
    </w:p>
    <w:p w14:paraId="31F6A84E" w14:textId="393D827A" w:rsidR="00E87084" w:rsidRDefault="00E87084" w:rsidP="00AC25DC">
      <w:pPr>
        <w:ind w:firstLine="397"/>
        <w:jc w:val="both"/>
        <w:rPr>
          <w:i/>
          <w:szCs w:val="20"/>
          <w:lang w:val="en-US"/>
        </w:rPr>
      </w:pPr>
    </w:p>
    <w:sectPr w:rsidR="00E87084">
      <w:footerReference w:type="even" r:id="rId8"/>
      <w:footerReference w:type="default" r:id="rId9"/>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8A26" w14:textId="77777777" w:rsidR="003D4BEA" w:rsidRDefault="003D4BEA">
      <w:r>
        <w:separator/>
      </w:r>
    </w:p>
  </w:endnote>
  <w:endnote w:type="continuationSeparator" w:id="0">
    <w:p w14:paraId="491F0EAF" w14:textId="77777777" w:rsidR="003D4BEA" w:rsidRDefault="003D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90FD" w14:textId="77777777" w:rsidR="00E87084" w:rsidRDefault="00000000">
    <w:pPr>
      <w:pStyle w:val="ae"/>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74C0F55" w14:textId="77777777" w:rsidR="00E87084" w:rsidRDefault="00E87084">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6713" w14:textId="77777777" w:rsidR="00E87084" w:rsidRDefault="00E87084">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05B0" w14:textId="77777777" w:rsidR="003D4BEA" w:rsidRDefault="003D4BEA">
      <w:r>
        <w:separator/>
      </w:r>
    </w:p>
  </w:footnote>
  <w:footnote w:type="continuationSeparator" w:id="0">
    <w:p w14:paraId="10115246" w14:textId="77777777" w:rsidR="003D4BEA" w:rsidRDefault="003D4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306F"/>
    <w:multiLevelType w:val="hybridMultilevel"/>
    <w:tmpl w:val="C0645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834D45"/>
    <w:multiLevelType w:val="hybridMultilevel"/>
    <w:tmpl w:val="0C706984"/>
    <w:lvl w:ilvl="0" w:tplc="4A70220E">
      <w:start w:val="1"/>
      <w:numFmt w:val="decimal"/>
      <w:lvlText w:val="%1."/>
      <w:lvlJc w:val="left"/>
      <w:pPr>
        <w:ind w:left="502" w:hanging="360"/>
      </w:pPr>
      <w:rPr>
        <w:i w:val="0"/>
      </w:rPr>
    </w:lvl>
    <w:lvl w:ilvl="1" w:tplc="B4DE1912">
      <w:start w:val="1"/>
      <w:numFmt w:val="lowerLetter"/>
      <w:lvlText w:val="%2."/>
      <w:lvlJc w:val="left"/>
      <w:pPr>
        <w:ind w:left="1440" w:hanging="360"/>
      </w:pPr>
    </w:lvl>
    <w:lvl w:ilvl="2" w:tplc="1F3C97A8">
      <w:start w:val="1"/>
      <w:numFmt w:val="lowerRoman"/>
      <w:lvlText w:val="%3."/>
      <w:lvlJc w:val="right"/>
      <w:pPr>
        <w:ind w:left="2160" w:hanging="180"/>
      </w:pPr>
    </w:lvl>
    <w:lvl w:ilvl="3" w:tplc="A5647540">
      <w:start w:val="1"/>
      <w:numFmt w:val="decimal"/>
      <w:lvlText w:val="%4."/>
      <w:lvlJc w:val="left"/>
      <w:pPr>
        <w:ind w:left="2880" w:hanging="360"/>
      </w:pPr>
    </w:lvl>
    <w:lvl w:ilvl="4" w:tplc="B178FDF8">
      <w:start w:val="1"/>
      <w:numFmt w:val="lowerLetter"/>
      <w:lvlText w:val="%5."/>
      <w:lvlJc w:val="left"/>
      <w:pPr>
        <w:ind w:left="3600" w:hanging="360"/>
      </w:pPr>
    </w:lvl>
    <w:lvl w:ilvl="5" w:tplc="D30E785C">
      <w:start w:val="1"/>
      <w:numFmt w:val="lowerRoman"/>
      <w:lvlText w:val="%6."/>
      <w:lvlJc w:val="right"/>
      <w:pPr>
        <w:ind w:left="4320" w:hanging="180"/>
      </w:pPr>
    </w:lvl>
    <w:lvl w:ilvl="6" w:tplc="F90E54C8">
      <w:start w:val="1"/>
      <w:numFmt w:val="decimal"/>
      <w:lvlText w:val="%7."/>
      <w:lvlJc w:val="left"/>
      <w:pPr>
        <w:ind w:left="5040" w:hanging="360"/>
      </w:pPr>
    </w:lvl>
    <w:lvl w:ilvl="7" w:tplc="E55A5726">
      <w:start w:val="1"/>
      <w:numFmt w:val="lowerLetter"/>
      <w:lvlText w:val="%8."/>
      <w:lvlJc w:val="left"/>
      <w:pPr>
        <w:ind w:left="5760" w:hanging="360"/>
      </w:pPr>
    </w:lvl>
    <w:lvl w:ilvl="8" w:tplc="BA500BCA">
      <w:start w:val="1"/>
      <w:numFmt w:val="lowerRoman"/>
      <w:lvlText w:val="%9."/>
      <w:lvlJc w:val="right"/>
      <w:pPr>
        <w:ind w:left="6480" w:hanging="180"/>
      </w:pPr>
    </w:lvl>
  </w:abstractNum>
  <w:abstractNum w:abstractNumId="2" w15:restartNumberingAfterBreak="0">
    <w:nsid w:val="39E00B8B"/>
    <w:multiLevelType w:val="hybridMultilevel"/>
    <w:tmpl w:val="22BE4B72"/>
    <w:lvl w:ilvl="0" w:tplc="D70C76FC">
      <w:start w:val="1"/>
      <w:numFmt w:val="decimal"/>
      <w:lvlText w:val="%1."/>
      <w:lvlJc w:val="left"/>
      <w:pPr>
        <w:tabs>
          <w:tab w:val="num" w:pos="1080"/>
        </w:tabs>
        <w:ind w:left="1080" w:hanging="360"/>
      </w:pPr>
    </w:lvl>
    <w:lvl w:ilvl="1" w:tplc="078257A6">
      <w:start w:val="1"/>
      <w:numFmt w:val="lowerLetter"/>
      <w:lvlText w:val="%2."/>
      <w:lvlJc w:val="left"/>
      <w:pPr>
        <w:tabs>
          <w:tab w:val="num" w:pos="1800"/>
        </w:tabs>
        <w:ind w:left="1800" w:hanging="360"/>
      </w:pPr>
    </w:lvl>
    <w:lvl w:ilvl="2" w:tplc="02082C1A">
      <w:start w:val="1"/>
      <w:numFmt w:val="lowerRoman"/>
      <w:lvlText w:val="%3."/>
      <w:lvlJc w:val="right"/>
      <w:pPr>
        <w:tabs>
          <w:tab w:val="num" w:pos="2520"/>
        </w:tabs>
        <w:ind w:left="2520" w:hanging="180"/>
      </w:pPr>
    </w:lvl>
    <w:lvl w:ilvl="3" w:tplc="35347C74">
      <w:start w:val="1"/>
      <w:numFmt w:val="decimal"/>
      <w:lvlText w:val="%4."/>
      <w:lvlJc w:val="left"/>
      <w:pPr>
        <w:tabs>
          <w:tab w:val="num" w:pos="3240"/>
        </w:tabs>
        <w:ind w:left="3240" w:hanging="360"/>
      </w:pPr>
    </w:lvl>
    <w:lvl w:ilvl="4" w:tplc="1496134A">
      <w:start w:val="1"/>
      <w:numFmt w:val="lowerLetter"/>
      <w:lvlText w:val="%5."/>
      <w:lvlJc w:val="left"/>
      <w:pPr>
        <w:tabs>
          <w:tab w:val="num" w:pos="3960"/>
        </w:tabs>
        <w:ind w:left="3960" w:hanging="360"/>
      </w:pPr>
    </w:lvl>
    <w:lvl w:ilvl="5" w:tplc="7ABC1146">
      <w:start w:val="1"/>
      <w:numFmt w:val="lowerRoman"/>
      <w:lvlText w:val="%6."/>
      <w:lvlJc w:val="right"/>
      <w:pPr>
        <w:tabs>
          <w:tab w:val="num" w:pos="4680"/>
        </w:tabs>
        <w:ind w:left="4680" w:hanging="180"/>
      </w:pPr>
    </w:lvl>
    <w:lvl w:ilvl="6" w:tplc="132A78F8">
      <w:start w:val="1"/>
      <w:numFmt w:val="decimal"/>
      <w:lvlText w:val="%7."/>
      <w:lvlJc w:val="left"/>
      <w:pPr>
        <w:tabs>
          <w:tab w:val="num" w:pos="5400"/>
        </w:tabs>
        <w:ind w:left="5400" w:hanging="360"/>
      </w:pPr>
    </w:lvl>
    <w:lvl w:ilvl="7" w:tplc="236E8004">
      <w:start w:val="1"/>
      <w:numFmt w:val="lowerLetter"/>
      <w:lvlText w:val="%8."/>
      <w:lvlJc w:val="left"/>
      <w:pPr>
        <w:tabs>
          <w:tab w:val="num" w:pos="6120"/>
        </w:tabs>
        <w:ind w:left="6120" w:hanging="360"/>
      </w:pPr>
    </w:lvl>
    <w:lvl w:ilvl="8" w:tplc="845C5938">
      <w:start w:val="1"/>
      <w:numFmt w:val="lowerRoman"/>
      <w:lvlText w:val="%9."/>
      <w:lvlJc w:val="right"/>
      <w:pPr>
        <w:tabs>
          <w:tab w:val="num" w:pos="6840"/>
        </w:tabs>
        <w:ind w:left="6840" w:hanging="180"/>
      </w:pPr>
    </w:lvl>
  </w:abstractNum>
  <w:abstractNum w:abstractNumId="3" w15:restartNumberingAfterBreak="0">
    <w:nsid w:val="4001155B"/>
    <w:multiLevelType w:val="hybridMultilevel"/>
    <w:tmpl w:val="1250EE42"/>
    <w:lvl w:ilvl="0" w:tplc="E7E600D0">
      <w:start w:val="1"/>
      <w:numFmt w:val="decimal"/>
      <w:lvlText w:val="%1."/>
      <w:lvlJc w:val="left"/>
      <w:pPr>
        <w:ind w:left="502" w:hanging="360"/>
      </w:pPr>
    </w:lvl>
    <w:lvl w:ilvl="1" w:tplc="7D08FA80">
      <w:start w:val="1"/>
      <w:numFmt w:val="lowerLetter"/>
      <w:lvlText w:val="%2."/>
      <w:lvlJc w:val="left"/>
      <w:pPr>
        <w:ind w:left="1440" w:hanging="360"/>
      </w:pPr>
    </w:lvl>
    <w:lvl w:ilvl="2" w:tplc="ACC44ED6">
      <w:start w:val="1"/>
      <w:numFmt w:val="lowerRoman"/>
      <w:lvlText w:val="%3."/>
      <w:lvlJc w:val="right"/>
      <w:pPr>
        <w:ind w:left="2160" w:hanging="180"/>
      </w:pPr>
    </w:lvl>
    <w:lvl w:ilvl="3" w:tplc="018E0EE8">
      <w:start w:val="1"/>
      <w:numFmt w:val="decimal"/>
      <w:lvlText w:val="%4."/>
      <w:lvlJc w:val="left"/>
      <w:pPr>
        <w:ind w:left="2880" w:hanging="360"/>
      </w:pPr>
    </w:lvl>
    <w:lvl w:ilvl="4" w:tplc="31C0E098">
      <w:start w:val="1"/>
      <w:numFmt w:val="lowerLetter"/>
      <w:lvlText w:val="%5."/>
      <w:lvlJc w:val="left"/>
      <w:pPr>
        <w:ind w:left="3600" w:hanging="360"/>
      </w:pPr>
    </w:lvl>
    <w:lvl w:ilvl="5" w:tplc="ABC42FE2">
      <w:start w:val="1"/>
      <w:numFmt w:val="lowerRoman"/>
      <w:lvlText w:val="%6."/>
      <w:lvlJc w:val="right"/>
      <w:pPr>
        <w:ind w:left="4320" w:hanging="180"/>
      </w:pPr>
    </w:lvl>
    <w:lvl w:ilvl="6" w:tplc="51849A64">
      <w:start w:val="1"/>
      <w:numFmt w:val="decimal"/>
      <w:lvlText w:val="%7."/>
      <w:lvlJc w:val="left"/>
      <w:pPr>
        <w:ind w:left="5040" w:hanging="360"/>
      </w:pPr>
    </w:lvl>
    <w:lvl w:ilvl="7" w:tplc="6BF4DB4E">
      <w:start w:val="1"/>
      <w:numFmt w:val="lowerLetter"/>
      <w:lvlText w:val="%8."/>
      <w:lvlJc w:val="left"/>
      <w:pPr>
        <w:ind w:left="5760" w:hanging="360"/>
      </w:pPr>
    </w:lvl>
    <w:lvl w:ilvl="8" w:tplc="C5A87182">
      <w:start w:val="1"/>
      <w:numFmt w:val="lowerRoman"/>
      <w:lvlText w:val="%9."/>
      <w:lvlJc w:val="right"/>
      <w:pPr>
        <w:ind w:left="6480" w:hanging="180"/>
      </w:pPr>
    </w:lvl>
  </w:abstractNum>
  <w:abstractNum w:abstractNumId="4" w15:restartNumberingAfterBreak="0">
    <w:nsid w:val="416E6207"/>
    <w:multiLevelType w:val="hybridMultilevel"/>
    <w:tmpl w:val="C526C7DA"/>
    <w:lvl w:ilvl="0" w:tplc="A0042568">
      <w:start w:val="1"/>
      <w:numFmt w:val="decimal"/>
      <w:lvlText w:val="%1.  "/>
      <w:lvlJc w:val="left"/>
      <w:pPr>
        <w:ind w:left="360" w:hanging="360"/>
      </w:pPr>
      <w:rPr>
        <w:b w:val="0"/>
        <w:color w:val="000000"/>
      </w:rPr>
    </w:lvl>
    <w:lvl w:ilvl="1" w:tplc="866EC39A">
      <w:start w:val="1"/>
      <w:numFmt w:val="lowerLetter"/>
      <w:lvlText w:val="%2."/>
      <w:lvlJc w:val="left"/>
      <w:pPr>
        <w:ind w:left="2149" w:hanging="360"/>
      </w:pPr>
    </w:lvl>
    <w:lvl w:ilvl="2" w:tplc="9C12F970">
      <w:start w:val="1"/>
      <w:numFmt w:val="lowerRoman"/>
      <w:lvlText w:val="%3."/>
      <w:lvlJc w:val="right"/>
      <w:pPr>
        <w:ind w:left="2869" w:hanging="180"/>
      </w:pPr>
    </w:lvl>
    <w:lvl w:ilvl="3" w:tplc="EE4EB7BE">
      <w:start w:val="1"/>
      <w:numFmt w:val="decimal"/>
      <w:lvlText w:val="%4."/>
      <w:lvlJc w:val="left"/>
      <w:pPr>
        <w:ind w:left="3589" w:hanging="360"/>
      </w:pPr>
    </w:lvl>
    <w:lvl w:ilvl="4" w:tplc="63B48EDE">
      <w:start w:val="1"/>
      <w:numFmt w:val="lowerLetter"/>
      <w:lvlText w:val="%5."/>
      <w:lvlJc w:val="left"/>
      <w:pPr>
        <w:ind w:left="4309" w:hanging="360"/>
      </w:pPr>
    </w:lvl>
    <w:lvl w:ilvl="5" w:tplc="580C2776">
      <w:start w:val="1"/>
      <w:numFmt w:val="lowerRoman"/>
      <w:lvlText w:val="%6."/>
      <w:lvlJc w:val="right"/>
      <w:pPr>
        <w:ind w:left="5029" w:hanging="180"/>
      </w:pPr>
    </w:lvl>
    <w:lvl w:ilvl="6" w:tplc="1CCE5182">
      <w:start w:val="1"/>
      <w:numFmt w:val="decimal"/>
      <w:lvlText w:val="%7."/>
      <w:lvlJc w:val="left"/>
      <w:pPr>
        <w:ind w:left="5749" w:hanging="360"/>
      </w:pPr>
    </w:lvl>
    <w:lvl w:ilvl="7" w:tplc="78D4E8B8">
      <w:start w:val="1"/>
      <w:numFmt w:val="lowerLetter"/>
      <w:lvlText w:val="%8."/>
      <w:lvlJc w:val="left"/>
      <w:pPr>
        <w:ind w:left="6469" w:hanging="360"/>
      </w:pPr>
    </w:lvl>
    <w:lvl w:ilvl="8" w:tplc="7168191C">
      <w:start w:val="1"/>
      <w:numFmt w:val="lowerRoman"/>
      <w:lvlText w:val="%9."/>
      <w:lvlJc w:val="right"/>
      <w:pPr>
        <w:ind w:left="7189" w:hanging="180"/>
      </w:pPr>
    </w:lvl>
  </w:abstractNum>
  <w:abstractNum w:abstractNumId="5" w15:restartNumberingAfterBreak="0">
    <w:nsid w:val="51A907F5"/>
    <w:multiLevelType w:val="hybridMultilevel"/>
    <w:tmpl w:val="F252FA3C"/>
    <w:lvl w:ilvl="0" w:tplc="88A6D91A">
      <w:start w:val="1"/>
      <w:numFmt w:val="decimal"/>
      <w:lvlText w:val="%1)"/>
      <w:lvlJc w:val="left"/>
      <w:pPr>
        <w:tabs>
          <w:tab w:val="num" w:pos="720"/>
        </w:tabs>
        <w:ind w:left="720" w:hanging="360"/>
      </w:pPr>
    </w:lvl>
    <w:lvl w:ilvl="1" w:tplc="7BCCE2A8">
      <w:start w:val="1"/>
      <w:numFmt w:val="lowerLetter"/>
      <w:lvlText w:val="%2."/>
      <w:lvlJc w:val="left"/>
      <w:pPr>
        <w:tabs>
          <w:tab w:val="num" w:pos="1440"/>
        </w:tabs>
        <w:ind w:left="1440" w:hanging="360"/>
      </w:pPr>
    </w:lvl>
    <w:lvl w:ilvl="2" w:tplc="FE12A948">
      <w:start w:val="1"/>
      <w:numFmt w:val="lowerRoman"/>
      <w:lvlText w:val="%3."/>
      <w:lvlJc w:val="right"/>
      <w:pPr>
        <w:tabs>
          <w:tab w:val="num" w:pos="2160"/>
        </w:tabs>
        <w:ind w:left="2160" w:hanging="180"/>
      </w:pPr>
    </w:lvl>
    <w:lvl w:ilvl="3" w:tplc="BDB2D494">
      <w:start w:val="1"/>
      <w:numFmt w:val="decimal"/>
      <w:lvlText w:val="%4."/>
      <w:lvlJc w:val="left"/>
      <w:pPr>
        <w:tabs>
          <w:tab w:val="num" w:pos="2880"/>
        </w:tabs>
        <w:ind w:left="2880" w:hanging="360"/>
      </w:pPr>
    </w:lvl>
    <w:lvl w:ilvl="4" w:tplc="C486E86C">
      <w:start w:val="1"/>
      <w:numFmt w:val="lowerLetter"/>
      <w:lvlText w:val="%5."/>
      <w:lvlJc w:val="left"/>
      <w:pPr>
        <w:tabs>
          <w:tab w:val="num" w:pos="3600"/>
        </w:tabs>
        <w:ind w:left="3600" w:hanging="360"/>
      </w:pPr>
    </w:lvl>
    <w:lvl w:ilvl="5" w:tplc="08029436">
      <w:start w:val="1"/>
      <w:numFmt w:val="lowerRoman"/>
      <w:lvlText w:val="%6."/>
      <w:lvlJc w:val="right"/>
      <w:pPr>
        <w:tabs>
          <w:tab w:val="num" w:pos="4320"/>
        </w:tabs>
        <w:ind w:left="4320" w:hanging="180"/>
      </w:pPr>
    </w:lvl>
    <w:lvl w:ilvl="6" w:tplc="4D984FFA">
      <w:start w:val="1"/>
      <w:numFmt w:val="decimal"/>
      <w:lvlText w:val="%7."/>
      <w:lvlJc w:val="left"/>
      <w:pPr>
        <w:tabs>
          <w:tab w:val="num" w:pos="5040"/>
        </w:tabs>
        <w:ind w:left="5040" w:hanging="360"/>
      </w:pPr>
    </w:lvl>
    <w:lvl w:ilvl="7" w:tplc="9512617A">
      <w:start w:val="1"/>
      <w:numFmt w:val="lowerLetter"/>
      <w:lvlText w:val="%8."/>
      <w:lvlJc w:val="left"/>
      <w:pPr>
        <w:tabs>
          <w:tab w:val="num" w:pos="5760"/>
        </w:tabs>
        <w:ind w:left="5760" w:hanging="360"/>
      </w:pPr>
    </w:lvl>
    <w:lvl w:ilvl="8" w:tplc="E6D29DE8">
      <w:start w:val="1"/>
      <w:numFmt w:val="lowerRoman"/>
      <w:lvlText w:val="%9."/>
      <w:lvlJc w:val="right"/>
      <w:pPr>
        <w:tabs>
          <w:tab w:val="num" w:pos="6480"/>
        </w:tabs>
        <w:ind w:left="6480" w:hanging="180"/>
      </w:pPr>
    </w:lvl>
  </w:abstractNum>
  <w:abstractNum w:abstractNumId="6" w15:restartNumberingAfterBreak="0">
    <w:nsid w:val="6BBC4F24"/>
    <w:multiLevelType w:val="hybridMultilevel"/>
    <w:tmpl w:val="206C5BAA"/>
    <w:lvl w:ilvl="0" w:tplc="FF7A8412">
      <w:start w:val="1"/>
      <w:numFmt w:val="decimal"/>
      <w:lvlText w:val="%1."/>
      <w:lvlJc w:val="left"/>
      <w:pPr>
        <w:ind w:left="928" w:hanging="360"/>
      </w:pPr>
      <w:rPr>
        <w:i w:val="0"/>
      </w:rPr>
    </w:lvl>
    <w:lvl w:ilvl="1" w:tplc="37A8882E">
      <w:start w:val="1"/>
      <w:numFmt w:val="lowerLetter"/>
      <w:lvlText w:val="%2."/>
      <w:lvlJc w:val="left"/>
      <w:pPr>
        <w:ind w:left="1866" w:hanging="360"/>
      </w:pPr>
    </w:lvl>
    <w:lvl w:ilvl="2" w:tplc="C1D48C38">
      <w:start w:val="1"/>
      <w:numFmt w:val="lowerRoman"/>
      <w:lvlText w:val="%3."/>
      <w:lvlJc w:val="right"/>
      <w:pPr>
        <w:ind w:left="2586" w:hanging="180"/>
      </w:pPr>
    </w:lvl>
    <w:lvl w:ilvl="3" w:tplc="B9662490">
      <w:start w:val="1"/>
      <w:numFmt w:val="decimal"/>
      <w:lvlText w:val="%4."/>
      <w:lvlJc w:val="left"/>
      <w:pPr>
        <w:ind w:left="3306" w:hanging="360"/>
      </w:pPr>
    </w:lvl>
    <w:lvl w:ilvl="4" w:tplc="1C1E18F0">
      <w:start w:val="1"/>
      <w:numFmt w:val="lowerLetter"/>
      <w:lvlText w:val="%5."/>
      <w:lvlJc w:val="left"/>
      <w:pPr>
        <w:ind w:left="4026" w:hanging="360"/>
      </w:pPr>
    </w:lvl>
    <w:lvl w:ilvl="5" w:tplc="1A7E967E">
      <w:start w:val="1"/>
      <w:numFmt w:val="lowerRoman"/>
      <w:lvlText w:val="%6."/>
      <w:lvlJc w:val="right"/>
      <w:pPr>
        <w:ind w:left="4746" w:hanging="180"/>
      </w:pPr>
    </w:lvl>
    <w:lvl w:ilvl="6" w:tplc="F9AA98BE">
      <w:start w:val="1"/>
      <w:numFmt w:val="decimal"/>
      <w:lvlText w:val="%7."/>
      <w:lvlJc w:val="left"/>
      <w:pPr>
        <w:ind w:left="5466" w:hanging="360"/>
      </w:pPr>
    </w:lvl>
    <w:lvl w:ilvl="7" w:tplc="16865AA8">
      <w:start w:val="1"/>
      <w:numFmt w:val="lowerLetter"/>
      <w:lvlText w:val="%8."/>
      <w:lvlJc w:val="left"/>
      <w:pPr>
        <w:ind w:left="6186" w:hanging="360"/>
      </w:pPr>
    </w:lvl>
    <w:lvl w:ilvl="8" w:tplc="694CF990">
      <w:start w:val="1"/>
      <w:numFmt w:val="lowerRoman"/>
      <w:lvlText w:val="%9."/>
      <w:lvlJc w:val="right"/>
      <w:pPr>
        <w:ind w:left="6906" w:hanging="180"/>
      </w:pPr>
    </w:lvl>
  </w:abstractNum>
  <w:num w:numId="1" w16cid:durableId="532422236">
    <w:abstractNumId w:val="4"/>
  </w:num>
  <w:num w:numId="2" w16cid:durableId="1519004941">
    <w:abstractNumId w:val="5"/>
  </w:num>
  <w:num w:numId="3" w16cid:durableId="621309126">
    <w:abstractNumId w:val="2"/>
  </w:num>
  <w:num w:numId="4" w16cid:durableId="13843334">
    <w:abstractNumId w:val="1"/>
  </w:num>
  <w:num w:numId="5" w16cid:durableId="1904638958">
    <w:abstractNumId w:val="3"/>
  </w:num>
  <w:num w:numId="6" w16cid:durableId="731588070">
    <w:abstractNumId w:val="6"/>
  </w:num>
  <w:num w:numId="7" w16cid:durableId="168948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84"/>
    <w:rsid w:val="00020B9E"/>
    <w:rsid w:val="000B1EBF"/>
    <w:rsid w:val="0030727B"/>
    <w:rsid w:val="003B3B08"/>
    <w:rsid w:val="003D4BEA"/>
    <w:rsid w:val="005161CB"/>
    <w:rsid w:val="006B767F"/>
    <w:rsid w:val="00700F28"/>
    <w:rsid w:val="008E52E6"/>
    <w:rsid w:val="00AC25DC"/>
    <w:rsid w:val="00AC6907"/>
    <w:rsid w:val="00BA6020"/>
    <w:rsid w:val="00CA79F1"/>
    <w:rsid w:val="00E8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16C6"/>
  <w15:docId w15:val="{328BAE15-28BC-42EB-9E09-CF810B09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pageBreakBefore/>
      <w:spacing w:after="120" w:line="360" w:lineRule="auto"/>
      <w:ind w:firstLine="709"/>
      <w:jc w:val="center"/>
      <w:outlineLvl w:val="1"/>
    </w:pPr>
    <w:rPr>
      <w:b/>
      <w:bCs/>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rFonts w:ascii="Calibri" w:hAnsi="Calibri"/>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semiHidden/>
    <w:unhideWhenUsed/>
    <w:pPr>
      <w:tabs>
        <w:tab w:val="center" w:pos="4677"/>
        <w:tab w:val="right" w:pos="9355"/>
      </w:tabs>
    </w:pPr>
  </w:style>
  <w:style w:type="character" w:customStyle="1" w:styleId="HeaderChar">
    <w:name w:val="Header Char"/>
    <w:uiPriority w:val="99"/>
  </w:style>
  <w:style w:type="paragraph" w:styleId="ae">
    <w:name w:val="footer"/>
    <w:basedOn w:val="a"/>
    <w:link w:val="af"/>
    <w:pPr>
      <w:tabs>
        <w:tab w:val="center" w:pos="4677"/>
        <w:tab w:val="right" w:pos="9355"/>
      </w:tabs>
    </w:pPr>
  </w:style>
  <w:style w:type="character" w:customStyle="1" w:styleId="af">
    <w:name w:val="Нижний колонтитул Знак"/>
    <w:link w:val="ae"/>
    <w:uiPriority w:val="99"/>
  </w:style>
  <w:style w:type="paragraph" w:styleId="af0">
    <w:name w:val="caption"/>
    <w:basedOn w:val="a"/>
    <w:next w:val="a"/>
    <w:link w:val="af1"/>
    <w:uiPriority w:val="35"/>
    <w:semiHidden/>
    <w:unhideWhenUsed/>
    <w:qFormat/>
    <w:pPr>
      <w:spacing w:line="276" w:lineRule="auto"/>
    </w:pPr>
    <w:rPr>
      <w:b/>
      <w:bCs/>
      <w:color w:val="4F81BD" w:themeColor="accent1"/>
      <w:sz w:val="18"/>
      <w:szCs w:val="18"/>
    </w:rPr>
  </w:style>
  <w:style w:type="character" w:customStyle="1" w:styleId="af1">
    <w:name w:val="Название объекта Знак"/>
    <w:link w:val="af0"/>
    <w:uiPriority w:val="35"/>
    <w:rPr>
      <w:b/>
      <w:bCs/>
      <w:color w:val="4F81BD" w:themeColor="accent1"/>
      <w:sz w:val="18"/>
      <w:szCs w:val="18"/>
    </w:rPr>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character" w:styleId="afc">
    <w:name w:val="Emphasis"/>
    <w:qFormat/>
    <w:rPr>
      <w:i/>
      <w:iCs/>
    </w:rPr>
  </w:style>
  <w:style w:type="character" w:customStyle="1" w:styleId="apple-converted-space">
    <w:name w:val="apple-converted-space"/>
    <w:basedOn w:val="a0"/>
  </w:style>
  <w:style w:type="character" w:customStyle="1" w:styleId="a5">
    <w:name w:val="Без интервала Знак"/>
    <w:link w:val="a4"/>
    <w:rPr>
      <w:rFonts w:ascii="Calibri" w:hAnsi="Calibri"/>
      <w:sz w:val="22"/>
      <w:szCs w:val="22"/>
      <w:lang w:val="ru-RU" w:eastAsia="en-US" w:bidi="ar-SA"/>
    </w:rPr>
  </w:style>
  <w:style w:type="character" w:customStyle="1" w:styleId="20">
    <w:name w:val="Заголовок 2 Знак"/>
    <w:link w:val="2"/>
    <w:rPr>
      <w:b/>
      <w:bCs/>
      <w:iCs/>
      <w:sz w:val="28"/>
      <w:szCs w:val="28"/>
      <w:lang w:val="ru-RU" w:eastAsia="ru-RU" w:bidi="ar-SA"/>
    </w:rPr>
  </w:style>
  <w:style w:type="paragraph" w:customStyle="1" w:styleId="afd">
    <w:name w:val="Обычный (веб)"/>
    <w:basedOn w:val="a"/>
    <w:uiPriority w:val="99"/>
    <w:unhideWhenUsed/>
    <w:pPr>
      <w:spacing w:before="100" w:beforeAutospacing="1" w:after="100" w:afterAutospacing="1"/>
    </w:pPr>
  </w:style>
  <w:style w:type="character" w:styleId="afe">
    <w:name w:val="page number"/>
    <w:basedOn w:val="a0"/>
  </w:style>
  <w:style w:type="character" w:styleId="aff">
    <w:name w:val="Placeholder Text"/>
    <w:uiPriority w:val="99"/>
    <w:semiHidden/>
    <w:rPr>
      <w:color w:val="808080"/>
    </w:rPr>
  </w:style>
  <w:style w:type="paragraph" w:styleId="aff0">
    <w:name w:val="Balloon Text"/>
    <w:basedOn w:val="a"/>
    <w:link w:val="aff1"/>
    <w:rPr>
      <w:rFonts w:ascii="Tahoma" w:hAnsi="Tahoma"/>
      <w:sz w:val="16"/>
      <w:szCs w:val="16"/>
      <w:lang w:val="en-US" w:eastAsia="en-US"/>
    </w:rPr>
  </w:style>
  <w:style w:type="character" w:customStyle="1" w:styleId="aff1">
    <w:name w:val="Текст выноски Знак"/>
    <w:link w:val="aff0"/>
    <w:rPr>
      <w:rFonts w:ascii="Tahoma" w:hAnsi="Tahoma" w:cs="Tahoma"/>
      <w:sz w:val="16"/>
      <w:szCs w:val="16"/>
    </w:rPr>
  </w:style>
  <w:style w:type="character" w:customStyle="1" w:styleId="ad">
    <w:name w:val="Верхний колонтитул Знак"/>
    <w:basedOn w:val="a0"/>
    <w:link w:val="ac"/>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2333</TotalTime>
  <Pages>1</Pages>
  <Words>734</Words>
  <Characters>4187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creator>PR</dc:creator>
  <cp:lastModifiedBy>Мария Буда</cp:lastModifiedBy>
  <cp:revision>6</cp:revision>
  <dcterms:created xsi:type="dcterms:W3CDTF">2018-02-06T07:23:00Z</dcterms:created>
  <dcterms:modified xsi:type="dcterms:W3CDTF">2026-03-02T16:47:00Z</dcterms:modified>
  <cp:version>786432</cp:version>
</cp:coreProperties>
</file>