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4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Исследования эффекта обратного комптоновского рассеяния на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35 МэВном ускорителе НИИЯФ МГУ</w:t>
      </w:r>
    </w:p>
    <w:p>
      <w:pPr>
        <w:pStyle w:val="Normal"/>
        <w:bidi w:val="0"/>
        <w:spacing w:lineRule="auto" w:line="24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</w:r>
    </w:p>
    <w:p>
      <w:pPr>
        <w:pStyle w:val="Normal"/>
        <w:bidi w:val="0"/>
        <w:spacing w:lineRule="auto" w:lin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Бобылев Д.А.</w:t>
      </w:r>
      <w:r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val="ru-RU"/>
        </w:rPr>
        <w:t>1,2,а</w:t>
      </w: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, Шведунов В.И.</w:t>
      </w:r>
      <w:r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val="ru-RU"/>
        </w:rPr>
        <w:t>2,б</w:t>
      </w: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, Ермаков А.Н.</w:t>
      </w:r>
      <w:r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val="ru-RU"/>
        </w:rPr>
        <w:t>2,в</w:t>
      </w: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, Савельев-Трофимов А.Б.</w:t>
      </w:r>
      <w:r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val="ru-RU"/>
        </w:rPr>
        <w:t>1,г</w:t>
      </w: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, Иванов К.А.</w:t>
      </w:r>
      <w:r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val="ru-RU"/>
        </w:rPr>
        <w:t>1,д</w:t>
      </w: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, Клопов С.Н.</w:t>
      </w:r>
      <w:r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val="ru-RU"/>
        </w:rPr>
        <w:t>1,а</w:t>
      </w: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, Басати В.К.</w:t>
      </w:r>
      <w:r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val="ru-RU"/>
        </w:rPr>
        <w:t>1,е</w:t>
      </w:r>
      <w:r>
        <w:rPr>
          <w:rFonts w:ascii="Times New Roman" w:hAnsi="Times New Roman"/>
          <w:b/>
          <w:bCs/>
          <w:i/>
          <w:iCs/>
          <w:position w:val="0"/>
          <w:sz w:val="24"/>
          <w:sz w:val="24"/>
          <w:szCs w:val="24"/>
          <w:vertAlign w:val="baseline"/>
          <w:lang w:val="ru-RU"/>
        </w:rPr>
        <w:t>, Матвеева А.А.</w:t>
      </w:r>
      <w:r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val="ru-RU"/>
        </w:rPr>
        <w:t>1,е</w:t>
      </w:r>
    </w:p>
    <w:p>
      <w:pPr>
        <w:pStyle w:val="Normal"/>
        <w:bidi w:val="0"/>
        <w:spacing w:lineRule="auto" w:lin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r>
    </w:p>
    <w:p>
      <w:pPr>
        <w:pStyle w:val="Normal"/>
        <w:bidi w:val="0"/>
        <w:spacing w:lineRule="auto" w:lin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vertAlign w:val="superscript"/>
          <w:lang w:val="ru-RU"/>
        </w:rPr>
        <w:t>а</w:t>
      </w:r>
      <w:r>
        <w:rPr>
          <w:rFonts w:ascii="Times New Roman" w:hAnsi="Times New Roman"/>
          <w:i/>
          <w:iCs/>
          <w:position w:val="0"/>
          <w:sz w:val="24"/>
          <w:sz w:val="24"/>
          <w:szCs w:val="24"/>
          <w:vertAlign w:val="baseline"/>
          <w:lang w:val="ru-RU"/>
        </w:rPr>
        <w:t xml:space="preserve">аспирант, 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ru-RU"/>
        </w:rPr>
        <w:t>б</w:t>
      </w:r>
      <w:r>
        <w:rPr>
          <w:rFonts w:ascii="Times New Roman" w:hAnsi="Times New Roman"/>
          <w:i/>
          <w:iCs/>
          <w:position w:val="0"/>
          <w:sz w:val="24"/>
          <w:sz w:val="24"/>
          <w:szCs w:val="24"/>
          <w:vertAlign w:val="baseline"/>
          <w:lang w:val="ru-RU"/>
        </w:rPr>
        <w:t xml:space="preserve">главный научный сотрудник, 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ru-RU"/>
        </w:rPr>
        <w:t>в</w:t>
      </w:r>
      <w:r>
        <w:rPr>
          <w:rFonts w:ascii="Times New Roman" w:hAnsi="Times New Roman"/>
          <w:i/>
          <w:iCs/>
          <w:position w:val="0"/>
          <w:sz w:val="24"/>
          <w:sz w:val="24"/>
          <w:szCs w:val="24"/>
          <w:vertAlign w:val="baseline"/>
          <w:lang w:val="ru-RU"/>
        </w:rPr>
        <w:t xml:space="preserve">старший научный сотрудник, 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ru-RU"/>
        </w:rPr>
        <w:t>г</w:t>
      </w:r>
      <w:r>
        <w:rPr>
          <w:rFonts w:ascii="Times New Roman" w:hAnsi="Times New Roman"/>
          <w:i/>
          <w:iCs/>
          <w:position w:val="0"/>
          <w:sz w:val="24"/>
          <w:sz w:val="24"/>
          <w:szCs w:val="24"/>
          <w:vertAlign w:val="baseline"/>
          <w:lang w:val="ru-RU"/>
        </w:rPr>
        <w:t xml:space="preserve">профессор, 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ru-RU"/>
        </w:rPr>
        <w:t>д</w:t>
      </w:r>
      <w:r>
        <w:rPr>
          <w:rFonts w:ascii="Times New Roman" w:hAnsi="Times New Roman"/>
          <w:i/>
          <w:iCs/>
          <w:position w:val="0"/>
          <w:sz w:val="24"/>
          <w:sz w:val="24"/>
          <w:szCs w:val="24"/>
          <w:vertAlign w:val="baseline"/>
          <w:lang w:val="ru-RU"/>
        </w:rPr>
        <w:t xml:space="preserve">доцент, 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ru-RU"/>
        </w:rPr>
        <w:t>е</w:t>
      </w:r>
      <w:r>
        <w:rPr>
          <w:rFonts w:ascii="Times New Roman" w:hAnsi="Times New Roman"/>
          <w:i/>
          <w:iCs/>
          <w:position w:val="0"/>
          <w:sz w:val="24"/>
          <w:sz w:val="24"/>
          <w:szCs w:val="24"/>
          <w:vertAlign w:val="baseline"/>
          <w:lang w:val="ru-RU"/>
        </w:rPr>
        <w:t>студент</w:t>
      </w:r>
    </w:p>
    <w:p>
      <w:pPr>
        <w:pStyle w:val="Normal"/>
        <w:bidi w:val="0"/>
        <w:spacing w:lineRule="auto" w:lin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position w:val="0"/>
          <w:sz w:val="24"/>
          <w:sz w:val="24"/>
          <w:szCs w:val="24"/>
          <w:vertAlign w:val="baseline"/>
          <w:lang w:val="ru-RU"/>
        </w:rPr>
      </w:r>
    </w:p>
    <w:p>
      <w:pPr>
        <w:pStyle w:val="Normal"/>
        <w:widowControl w:val="false"/>
        <w:bidi w:val="0"/>
        <w:spacing w:before="0" w:after="120"/>
        <w:jc w:val="center"/>
        <w:rPr>
          <w:rFonts w:ascii="Times New Roman" w:hAnsi="Times New Roman"/>
          <w:i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vertAlign w:val="superscript"/>
        </w:rPr>
        <w:t>1</w:t>
      </w:r>
      <w:r>
        <w:rPr>
          <w:rFonts w:ascii="Times New Roman" w:hAnsi="Times New Roman"/>
          <w:i/>
          <w:iCs/>
        </w:rPr>
        <w:t xml:space="preserve">Московский государственный университет имени М. В. Ломоносова, </w:t>
        <w:br/>
        <w:t>физический факультет, Москва, Россия,</w:t>
        <w:br/>
        <w:t xml:space="preserve"> </w:t>
      </w:r>
      <w:r>
        <w:rPr>
          <w:rFonts w:ascii="Times New Roman" w:hAnsi="Times New Roman"/>
          <w:i/>
          <w:iCs/>
          <w:vertAlign w:val="superscript"/>
        </w:rPr>
        <w:t>2</w:t>
      </w:r>
      <w:r>
        <w:rPr>
          <w:rFonts w:ascii="Times New Roman" w:hAnsi="Times New Roman"/>
          <w:i/>
          <w:iCs/>
        </w:rPr>
        <w:t xml:space="preserve">Московский государственный университет имени М. В. Ломоносова  </w:t>
        <w:br/>
        <w:t xml:space="preserve">Научно-исследовательский институт ядерной физики имени Д. В. Скобельцына, </w:t>
        <w:br/>
        <w:t>Москва, Россия</w:t>
      </w:r>
    </w:p>
    <w:p>
      <w:pPr>
        <w:pStyle w:val="Normal"/>
        <w:widowControl w:val="false"/>
        <w:bidi w:val="0"/>
        <w:spacing w:before="0" w:after="120"/>
        <w:jc w:val="center"/>
        <w:rPr>
          <w:rFonts w:ascii="Times New Roman" w:hAnsi="Times New Roman"/>
          <w:i/>
          <w:i/>
          <w:iCs/>
          <w:sz w:val="24"/>
          <w:szCs w:val="24"/>
        </w:rPr>
      </w:pPr>
      <w:r>
        <w:rPr>
          <w:rFonts w:ascii="Times New Roman" w:hAnsi="Times New Roman"/>
          <w:i/>
          <w:iCs/>
        </w:rPr>
        <w:t>E-mail: agava2309@yandex.ru</w:t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tabs>
          <w:tab w:val="clear" w:pos="709"/>
          <w:tab w:val="left" w:pos="309" w:leader="none"/>
          <w:tab w:val="left" w:pos="344" w:leader="none"/>
        </w:tabs>
        <w:bidi w:val="0"/>
        <w:spacing w:lineRule="auto" w:line="240"/>
        <w:ind w:firstLine="397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Эффект обратного комптоновского рассеяния заключается в увеличении энергии фотона при его рассеянии на высокоэнергичном электроне. Источники рентгеновского и гамма – излучения, основанные на данном эффекте сочетают в себе ряд достоинств, таких как высокая монохроматичность </w:t>
      </w:r>
      <w:r>
        <w:rPr>
          <w:rFonts w:ascii="Times New Roman" w:hAnsi="Times New Roman"/>
          <w:sz w:val="24"/>
          <w:szCs w:val="24"/>
          <w:lang w:val="ru-RU"/>
        </w:rPr>
        <w:t xml:space="preserve">излучения, высокая яркость и возможность прецизионного регулирования энергии излучения. По этой причине последние десятилетия во многих лабораториях по всему миру идёт активное развитие источников комптоновского излучения. В рамках создания Источника комптоновского излучения на базе Национального центра физики и математики </w:t>
      </w:r>
      <w:r>
        <w:rPr>
          <w:rFonts w:ascii="Times New Roman" w:hAnsi="Times New Roman"/>
          <w:sz w:val="24"/>
          <w:szCs w:val="24"/>
          <w:lang w:val="ru-RU"/>
        </w:rPr>
        <w:t>(</w:t>
      </w:r>
      <w:r>
        <w:rPr>
          <w:rFonts w:ascii="Times New Roman" w:hAnsi="Times New Roman"/>
          <w:sz w:val="24"/>
          <w:szCs w:val="24"/>
          <w:lang w:val="ru-RU"/>
        </w:rPr>
        <w:t xml:space="preserve">ИКИ НЦФМ, </w:t>
      </w:r>
      <w:r>
        <w:rPr>
          <w:rFonts w:ascii="Times New Roman" w:hAnsi="Times New Roman"/>
          <w:sz w:val="24"/>
          <w:szCs w:val="24"/>
          <w:lang w:val="ru-RU"/>
        </w:rPr>
        <w:t xml:space="preserve">Саров) </w:t>
      </w:r>
      <w:r>
        <w:rPr>
          <w:rFonts w:ascii="Times New Roman" w:hAnsi="Times New Roman"/>
          <w:sz w:val="24"/>
          <w:szCs w:val="24"/>
          <w:lang w:val="ru-RU"/>
        </w:rPr>
        <w:t>[1, 2]</w:t>
      </w:r>
      <w:r>
        <w:rPr>
          <w:rFonts w:ascii="Times New Roman" w:hAnsi="Times New Roman"/>
          <w:sz w:val="24"/>
          <w:szCs w:val="24"/>
          <w:lang w:val="ru-RU"/>
        </w:rPr>
        <w:t xml:space="preserve"> в НИИЯФ МГУ проводятся предварительные исследования, направленные на получение обратного комптоновского излучения, определение и оптимизацию его основных характеристик </w:t>
      </w:r>
      <w:r>
        <w:rPr>
          <w:rFonts w:ascii="Times New Roman" w:hAnsi="Times New Roman"/>
          <w:sz w:val="24"/>
          <w:szCs w:val="24"/>
          <w:lang w:val="ru-RU"/>
        </w:rPr>
        <w:t>[3]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>
      <w:pPr>
        <w:pStyle w:val="Normal"/>
        <w:bidi w:val="0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lang w:val="ru-RU"/>
        </w:rPr>
        <w:t xml:space="preserve">качестве источника высокоэнергичных электронов был выбрал 35 МэВный линейный резонансный ускоритель НИИЯФ МГУ, в качестве источника фотонов — </w:t>
      </w:r>
      <w:r>
        <w:rPr>
          <w:rFonts w:ascii="Times New Roman" w:hAnsi="Times New Roman"/>
          <w:sz w:val="24"/>
          <w:szCs w:val="24"/>
          <w:lang w:val="ru-RU"/>
        </w:rPr>
        <w:t xml:space="preserve">инфракрасный </w:t>
      </w:r>
      <w:r>
        <w:rPr>
          <w:rFonts w:ascii="Times New Roman" w:hAnsi="Times New Roman"/>
          <w:sz w:val="24"/>
          <w:szCs w:val="24"/>
          <w:lang w:val="ru-RU"/>
        </w:rPr>
        <w:t xml:space="preserve">лазер (физичекий факультет МГУ) </w:t>
      </w:r>
      <w:r>
        <w:rPr>
          <w:rFonts w:ascii="Times New Roman" w:hAnsi="Times New Roman"/>
          <w:sz w:val="24"/>
          <w:szCs w:val="24"/>
          <w:lang w:val="ru-RU"/>
        </w:rPr>
        <w:t xml:space="preserve">с </w:t>
      </w:r>
      <w:r>
        <w:rPr>
          <w:rFonts w:ascii="Times New Roman" w:hAnsi="Times New Roman"/>
          <w:sz w:val="24"/>
          <w:szCs w:val="24"/>
          <w:lang w:val="ru-RU"/>
        </w:rPr>
        <w:t>длительностью импульса 8 нс и энергией импульса 1 Дж.</w:t>
      </w:r>
    </w:p>
    <w:p>
      <w:pPr>
        <w:pStyle w:val="Normal"/>
        <w:bidi w:val="0"/>
        <w:spacing w:lineRule="auto" w:line="24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bidi w:val="0"/>
        <w:spacing w:lineRule="auto" w:line="24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Предварительные исследования включают в себя как задачи расчёта и моделирования выхода комптоновского излучения и его прохождения через систему коллиматоров, так и экспериментальные исследования, включающие в себя вопросы юстировки лазера и ускорителя, совмещения лазерного и электронного пучков и их синхронизацию, а также вопросы финальной регистрации комптоновского излучения.</w:t>
      </w:r>
    </w:p>
    <w:p>
      <w:pPr>
        <w:pStyle w:val="Normal"/>
        <w:bidi w:val="0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bidi w:val="0"/>
        <w:spacing w:lineRule="auto" w:line="24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В данной работе суммируются результаты проведённых исследований и делаются выводы о направлениях последующей работы.</w:t>
      </w:r>
    </w:p>
    <w:p>
      <w:pPr>
        <w:pStyle w:val="Normal"/>
        <w:bidi w:val="0"/>
        <w:spacing w:lineRule="auto" w:line="24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  <w:r>
        <w:br w:type="page"/>
      </w:r>
    </w:p>
    <w:p>
      <w:pPr>
        <w:pStyle w:val="Normal"/>
        <w:bidi w:val="0"/>
        <w:spacing w:lineRule="auto" w:line="24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bidi w:val="0"/>
        <w:spacing w:lineRule="auto" w:line="24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tbl>
      <w:tblPr>
        <w:tblW w:w="5000" w:type="pct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4592"/>
        <w:gridCol w:w="4592"/>
      </w:tblGrid>
      <w:tr>
        <w:trPr/>
        <w:tc>
          <w:tcPr>
            <w:tcW w:w="45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Style18"/>
              <w:bidi w:val="0"/>
              <w:spacing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28575</wp:posOffset>
                  </wp:positionV>
                  <wp:extent cx="2823845" cy="2104390"/>
                  <wp:effectExtent l="0" t="0" r="0" b="0"/>
                  <wp:wrapTopAndBottom/>
                  <wp:docPr id="1" name="Изображение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4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(а)</w:t>
            </w:r>
          </w:p>
        </w:tc>
        <w:tc>
          <w:tcPr>
            <w:tcW w:w="45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Style18"/>
              <w:bidi w:val="0"/>
              <w:spacing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26035</wp:posOffset>
                  </wp:positionV>
                  <wp:extent cx="2713355" cy="2089150"/>
                  <wp:effectExtent l="0" t="0" r="0" b="0"/>
                  <wp:wrapTopAndBottom/>
                  <wp:docPr id="2" name="Изображение2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(б)</w:t>
            </w:r>
          </w:p>
        </w:tc>
      </w:tr>
      <w:tr>
        <w:trPr>
          <w:trHeight w:val="427" w:hRule="atLeast"/>
        </w:trPr>
        <w:tc>
          <w:tcPr>
            <w:tcW w:w="459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Style18"/>
              <w:bidi w:val="0"/>
              <w:spacing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0" allowOverlap="1" relativeHeight="4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47625</wp:posOffset>
                      </wp:positionV>
                      <wp:extent cx="2739390" cy="2259330"/>
                      <wp:effectExtent l="0" t="0" r="0" b="0"/>
                      <wp:wrapTopAndBottom/>
                      <wp:docPr id="3" name="Изображения с прозрачностью 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Изображения с прозрачностью 2" descr=""/>
                              <pic:cNvPicPr/>
                            </pic:nvPicPr>
                            <pic:blipFill>
                              <a:blip r:embed="rId4"/>
                              <a:srcRect l="0" t="11853" r="37968" b="0"/>
                              <a:stretch/>
                            </pic:blipFill>
                            <pic:spPr>
                              <a:xfrm>
                                <a:off x="0" y="0"/>
                                <a:ext cx="2739240" cy="2259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Изображения с прозрачностью 2" stroked="f" o:allowincell="f" style="position:absolute;margin-left:1.85pt;margin-top:3.75pt;width:215.65pt;height:177.85pt;mso-wrap-style:none;v-text-anchor:middle" type="_x0000_t75">
                      <v:imagedata r:id="rId5" o:detectmouseclick="t"/>
                      <v:stroke color="#3465a4" joinstyle="round" endcap="flat"/>
                      <w10:wrap type="topAndBottom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(в)</w:t>
            </w:r>
          </w:p>
        </w:tc>
        <w:tc>
          <w:tcPr>
            <w:tcW w:w="4592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Style18"/>
              <w:bidi w:val="0"/>
              <w:spacing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0" allowOverlap="1" relativeHeight="3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68580</wp:posOffset>
                      </wp:positionV>
                      <wp:extent cx="2653665" cy="2226945"/>
                      <wp:effectExtent l="0" t="0" r="0" b="0"/>
                      <wp:wrapTopAndBottom/>
                      <wp:docPr id="5" name="Изображения с прозрачностью 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Изображения с прозрачностью 1" descr=""/>
                              <pic:cNvPicPr/>
                            </pic:nvPicPr>
                            <pic:blipFill>
                              <a:blip r:embed="rId6"/>
                              <a:srcRect l="0" t="27069" r="0" b="18773"/>
                              <a:stretch/>
                            </pic:blipFill>
                            <pic:spPr>
                              <a:xfrm>
                                <a:off x="0" y="0"/>
                                <a:ext cx="2653560" cy="2226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Изображения с прозрачностью 1" stroked="f" o:allowincell="f" style="position:absolute;margin-left:4.95pt;margin-top:5.4pt;width:208.9pt;height:175.3pt;mso-wrap-style:none;v-text-anchor:middle" type="_x0000_t75">
                      <v:imagedata r:id="rId7" o:detectmouseclick="t"/>
                      <v:stroke color="#3465a4" joinstyle="round" endcap="flat"/>
                      <w10:wrap type="topAndBottom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(г)</w:t>
            </w:r>
          </w:p>
        </w:tc>
      </w:tr>
      <w:tr>
        <w:trPr>
          <w:trHeight w:val="402" w:hRule="atLeast"/>
        </w:trPr>
        <w:tc>
          <w:tcPr>
            <w:tcW w:w="9184" w:type="dxa"/>
            <w:gridSpan w:val="2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Style18"/>
              <w:bidi w:val="0"/>
              <w:spacing w:lineRule="auto" w:lin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Рис. 1. а — </w:t>
            </w:r>
            <w:r>
              <w:rPr>
                <w:rFonts w:ascii="Times New Roman" w:hAnsi="Times New Roman"/>
                <w:sz w:val="24"/>
                <w:szCs w:val="24"/>
              </w:rPr>
              <w:t>Программа для расчёта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потока комптоновского излучения, б — 35 МэВный ускоритель НИИЯФ МГУ, в — Расчёты спектрального рентгеновского фильтра, г — лазерный пучок в точке взаимодействия</w:t>
            </w:r>
          </w:p>
        </w:tc>
      </w:tr>
    </w:tbl>
    <w:p>
      <w:pPr>
        <w:pStyle w:val="Normal"/>
        <w:bidi w:val="0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Литература</w:t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numPr>
          <w:ilvl w:val="0"/>
          <w:numId w:val="1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Бобылев Д.А., Шведунов В.И. Накопительное кольцо комптоновского источника НЦФМ.// </w:t>
      </w:r>
      <w:r>
        <w:rPr>
          <w:rFonts w:ascii="Times New Roman" w:hAnsi="Times New Roman"/>
          <w:sz w:val="24"/>
          <w:szCs w:val="24"/>
          <w:lang w:val="en-US" w:eastAsia="zh-CN"/>
        </w:rPr>
        <w:t xml:space="preserve">Вестник Московского университета. Серия 3. </w:t>
      </w:r>
      <w:r>
        <w:rPr>
          <w:rFonts w:ascii="Times New Roman" w:hAnsi="Times New Roman"/>
          <w:sz w:val="24"/>
          <w:szCs w:val="24"/>
          <w:lang w:val="ru-RU" w:eastAsia="zh-CN"/>
        </w:rPr>
        <w:tab/>
      </w:r>
      <w:r>
        <w:rPr>
          <w:rFonts w:ascii="Times New Roman" w:hAnsi="Times New Roman"/>
          <w:sz w:val="24"/>
          <w:szCs w:val="24"/>
          <w:lang w:val="en-US" w:eastAsia="zh-CN"/>
        </w:rPr>
        <w:t>Физика. Астрономия. - 2024 - №2</w:t>
      </w:r>
    </w:p>
    <w:p>
      <w:pPr>
        <w:pStyle w:val="Normal"/>
        <w:numPr>
          <w:ilvl w:val="0"/>
          <w:numId w:val="1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 w:eastAsia="zh-CN"/>
        </w:rPr>
        <w:t>Григоренко Л.В., и др. Проект научной пррграммы ИНОК — комптоновского источника монохроматических гамма-квантов НЦФМ // ФИЗМАТ. - 2024. - Т. 1. - № 3-4. - С. 123-264</w:t>
      </w:r>
    </w:p>
    <w:p>
      <w:pPr>
        <w:pStyle w:val="Normal"/>
        <w:numPr>
          <w:ilvl w:val="0"/>
          <w:numId w:val="1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 w:eastAsia="zh-CN"/>
        </w:rPr>
        <w:t>Фещенко, Р.; Виноградов, А.; Артюков, И. Influence of the electron beam emittance on the polarization of a laser-electron x-ray generator.// Phys. Rev. Accel. Beams 2016, 19, 114702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sectPr>
      <w:type w:val="nextPage"/>
      <w:pgSz w:w="11906" w:h="16838"/>
      <w:pgMar w:left="1361" w:right="1361" w:gutter="0" w:header="0" w:top="1134" w:footer="0" w:bottom="1259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 w:characterSet="utf-8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7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Noto Sans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character" w:styleId="Style15">
    <w:name w:val="Символ нумерации"/>
    <w:qFormat/>
    <w:rPr/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Noto Sans Devanagari"/>
    </w:rPr>
  </w:style>
  <w:style w:type="paragraph" w:styleId="Style18">
    <w:name w:val="Содержимое таблицы"/>
    <w:basedOn w:val="Normal"/>
    <w:qFormat/>
    <w:pPr>
      <w:widowControl w:val="false"/>
      <w:suppressLineNumbers/>
    </w:pPr>
    <w:rPr/>
  </w:style>
  <w:style w:type="paragraph" w:styleId="Style19">
    <w:name w:val="Заголовок таблицы"/>
    <w:basedOn w:val="Style18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4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59</TotalTime>
  <Application>LibreOffice/24.2.7.2$Linux_X86_64 LibreOffice_project/420$Build-2</Application>
  <AppVersion>15.0000</AppVersion>
  <Pages>2</Pages>
  <Words>363</Words>
  <Characters>2520</Characters>
  <CharactersWithSpaces>2877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2026-02-28T13:08:05Z</dcterms:created>
  <dc:creator/>
  <dc:description/>
  <dc:language>ru-RU</dc:language>
  <cp:lastModifiedBy/>
  <dcterms:modified xsi:type="dcterms:W3CDTF">2026-02-28T14:07:46Z</dcterms:modified>
  <cp:revision>14</cp:revision>
  <dc:subject/>
  <dc:title/>
</cp:coreProperties>
</file>