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0"/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Измерение нейтронов-спектаторов </w:t>
      </w:r>
      <w:r>
        <w:rPr>
          <w:sz w:val="24"/>
          <w:szCs w:val="24"/>
        </w:rPr>
        <w:t xml:space="preserve">в столкновениях </w:t>
      </w:r>
      <w:r>
        <w:rPr>
          <w:sz w:val="24"/>
          <w:szCs w:val="24"/>
        </w:rPr>
        <w:t>Xe</w:t>
      </w:r>
      <w:r>
        <w:rPr>
          <w:sz w:val="24"/>
          <w:szCs w:val="24"/>
        </w:rPr>
        <w:t>+CsI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z w:val="24"/>
          <w:szCs w:val="24"/>
        </w:rPr>
        <w:t xml:space="preserve"> энерги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3,8A ГэВ в эксперименте BM@N</w:t>
      </w:r>
    </w:p>
    <w:p>
      <w:pPr>
        <w:pStyle w:val="11"/>
        <w:rPr>
          <w:b w:val="false"/>
          <w:bCs/>
          <w:i w:val="false"/>
          <w:i w:val="false"/>
          <w:vertAlign w:val="superscript"/>
        </w:rPr>
      </w:pPr>
      <w:bookmarkStart w:id="0" w:name="_Toc435091269"/>
      <w:r>
        <w:rPr/>
        <w:t>Зубанков А</w:t>
      </w:r>
      <w:r>
        <w:rPr>
          <w:i w:val="false"/>
        </w:rPr>
        <w:t>.</w:t>
      </w:r>
      <w:r>
        <w:rPr/>
        <w:t>А</w:t>
      </w:r>
      <w:r>
        <w:rPr>
          <w:i w:val="false"/>
        </w:rPr>
        <w:t>.</w:t>
      </w:r>
      <w:bookmarkStart w:id="1" w:name="_Hlk158383806"/>
      <w:r>
        <w:rPr>
          <w:b w:val="false"/>
          <w:bCs/>
          <w:i w:val="false"/>
          <w:vertAlign w:val="superscript"/>
        </w:rPr>
        <w:t>1,2</w:t>
      </w:r>
      <w:bookmarkEnd w:id="0"/>
      <w:bookmarkEnd w:id="1"/>
    </w:p>
    <w:p>
      <w:pPr>
        <w:pStyle w:val="11"/>
        <w:rPr>
          <w:b w:val="false"/>
          <w:bCs/>
        </w:rPr>
      </w:pPr>
      <w:r>
        <w:rPr>
          <w:b w:val="false"/>
          <w:bCs/>
        </w:rPr>
        <w:t>Инженер</w:t>
      </w:r>
      <w:r>
        <w:rPr>
          <w:b w:val="false"/>
          <w:bCs/>
          <w:i w:val="false"/>
          <w:vertAlign w:val="superscript"/>
        </w:rPr>
        <w:t>1</w:t>
      </w:r>
      <w:r>
        <w:rPr>
          <w:b w:val="false"/>
          <w:bCs/>
        </w:rPr>
        <w:t>, аспирант</w:t>
      </w:r>
      <w:r>
        <w:rPr>
          <w:b w:val="false"/>
          <w:bCs/>
          <w:i w:val="false"/>
          <w:vertAlign w:val="superscript"/>
        </w:rPr>
        <w:t>2</w:t>
      </w:r>
    </w:p>
    <w:p>
      <w:pPr>
        <w:pStyle w:val="12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>Институт ядерных исследований РАН, Отдел экспериментальной физики, Москва, Россия</w:t>
        <w:br/>
      </w:r>
      <w:r>
        <w:rPr>
          <w:i/>
          <w:iCs/>
          <w:sz w:val="24"/>
          <w:szCs w:val="24"/>
          <w:vertAlign w:val="superscript"/>
        </w:rPr>
        <w:t>2</w:t>
      </w:r>
      <w:r>
        <w:rPr>
          <w:i/>
          <w:iCs/>
          <w:sz w:val="24"/>
          <w:szCs w:val="24"/>
        </w:rPr>
        <w:t>Национальный исследовательский ядерный университет «МИФИ», Институт ядерной физики и технологий, Москва, Россия</w:t>
      </w:r>
    </w:p>
    <w:p>
      <w:pPr>
        <w:pStyle w:val="12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E</w:t>
      </w:r>
      <w:r>
        <w:rPr>
          <w:i/>
          <w:iCs/>
          <w:sz w:val="24"/>
          <w:szCs w:val="24"/>
        </w:rPr>
        <w:t>–</w:t>
      </w:r>
      <w:r>
        <w:rPr>
          <w:i/>
          <w:iCs/>
          <w:sz w:val="24"/>
          <w:szCs w:val="24"/>
          <w:lang w:val="en-US"/>
        </w:rPr>
        <w:t>mail</w:t>
      </w:r>
      <w:r>
        <w:rPr>
          <w:i/>
          <w:iCs/>
          <w:sz w:val="24"/>
          <w:szCs w:val="24"/>
        </w:rPr>
        <w:t xml:space="preserve">: </w:t>
      </w:r>
      <w:r>
        <w:rPr>
          <w:i/>
          <w:iCs/>
          <w:sz w:val="24"/>
          <w:szCs w:val="24"/>
          <w:lang w:val="en-US"/>
        </w:rPr>
        <w:t>zubankov</w:t>
      </w:r>
      <w:r>
        <w:rPr>
          <w:i/>
          <w:iCs/>
          <w:sz w:val="24"/>
          <w:szCs w:val="24"/>
        </w:rPr>
        <w:t>@</w:t>
      </w:r>
      <w:r>
        <w:rPr>
          <w:i/>
          <w:iCs/>
          <w:sz w:val="24"/>
          <w:szCs w:val="24"/>
          <w:lang w:val="en-US"/>
        </w:rPr>
        <w:t>inr</w:t>
      </w:r>
      <w:r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  <w:lang w:val="en-US"/>
        </w:rPr>
        <w:t>ru</w:t>
      </w:r>
    </w:p>
    <w:p>
      <w:pPr>
        <w:pStyle w:val="Normal"/>
        <w:ind w:firstLine="397"/>
        <w:jc w:val="both"/>
        <w:rPr/>
      </w:pPr>
      <w:r>
        <w:rPr/>
        <w:t>Высокогранулярный времяпролетный нейтронный детектор High</w:t>
      </w:r>
      <w:r>
        <w:rPr>
          <w:lang w:val="en-US"/>
        </w:rPr>
        <w:t>ly</w:t>
      </w:r>
      <w:r>
        <w:rPr/>
        <w:t xml:space="preserve"> Granular Neutron Detector (HGND) [1] эксперимента Baryonic Matter at Nuclotron (BM@N) [2] разрабатывается и изготавливается в ИЯИ РАН для идентификации нейтронов, образующихся в ядерно-ядерных столкновениях, и измерения кинетических энергий нейтронов в диапазоне 0,3-4 ГэВ методом времяпролетного анализа в эксперименте BM@N на ускорительном комплексе NICA. Прототип высокогранулярного нейтронного детектора HGND впервые был протестирован в физическом сеансе эксперимента BM@N по столкновению пучка </w:t>
      </w:r>
      <w:r>
        <w:rPr>
          <w:vertAlign w:val="superscript"/>
        </w:rPr>
        <w:t>124</w:t>
      </w:r>
      <w:r>
        <w:rPr/>
        <w:t>Xe с энергией 3,8A ГэВ с мишенью CsI для проверки концепции полномасштабного HGND. В работе [</w:t>
      </w:r>
      <w:r>
        <w:rPr/>
        <w:t>2</w:t>
      </w:r>
      <w:r>
        <w:rPr/>
        <w:t>] была проведена оценка характеристик детектора на нейтронах из электромагнитной диссоциации, а также нейтронах-спектаторах из адронной фрагментации. Прототип HGND показал хорошую способность измерять спектры нейтронов, подтвердив успешность концепции полномасштабного HGND. Однако, в работе [</w:t>
      </w:r>
      <w:r>
        <w:rPr/>
        <w:t>2</w:t>
      </w:r>
      <w:r>
        <w:rPr/>
        <w:t>] анализ нейтронов-спектаторов из адронной фрагментации проводился упрощенно. В текущей работе проведено более детальное сравнение с моделированием, с коррекцией на эффективность триггера для моделирования, оценненую в работе [</w:t>
      </w:r>
      <w:r>
        <w:rPr/>
        <w:t>3</w:t>
      </w:r>
      <w:r>
        <w:rPr/>
        <w:t>]. Сравнение с моделями DCM-QGSM-SMM [</w:t>
      </w:r>
      <w:r>
        <w:rPr/>
        <w:t>4</w:t>
      </w:r>
      <w:r>
        <w:rPr/>
        <w:t>] и UrQMD-AMC [</w:t>
      </w:r>
      <w:r>
        <w:rPr/>
        <w:t>5</w:t>
      </w:r>
      <w:r>
        <w:rPr/>
        <w:t xml:space="preserve">] показало хорошее согласие в пределах систематических ошибок. </w:t>
      </w:r>
    </w:p>
    <w:p>
      <w:pPr>
        <w:pStyle w:val="Normal"/>
        <w:ind w:firstLine="397"/>
        <w:jc w:val="both"/>
        <w:rPr/>
      </w:pPr>
      <w:r>
        <w:rPr/>
        <w:t xml:space="preserve">Одной из проблем полученного распределения кинетической энергии нейтронов является большой вклад временного разрешения в форму итогового распределения. Для решения этой проблемы используется деконволюция Ричардсона-Люси, позволяя устранить вклад ненулевого разрешения в форму спектра. Для реализации процедуры используется фреймворк RooUnfold проекта ROOT. Вычисление истинного распределения нейтронов происходит итеративно после вычитания фона из измеренного распределения с последующим перемножением на обратную матрицу отклика. Матрица отклика и спектр фона получаются из моделирования реакции с эмиссией нейтронов для моделей DCM-QGSM-SMM и UrQMD-AMC. Результат деконволюции представлен на рис. 1 </w:t>
      </w:r>
      <w:r>
        <w:rPr/>
        <w:t>(слева)</w:t>
      </w:r>
      <w:r>
        <w:rPr/>
        <w:t>, где пунктирная линия — измеренное распределение, сплошная линия — истинное распределение из моделирования, круглые точки — распределение после деконволюции. Видно, что в показанном случае деконволюция позволяет эффективно восстановить истинный спектр, за исключением области с энергиями до 2,5 ГэВ, что связано с искажениями спектра из-за наличия фона. Разница между распределениями, полученных из деконволюции с разными моделями, будет использована для оценки систематических непределенностей.</w:t>
      </w:r>
    </w:p>
    <w:p>
      <w:pPr>
        <w:pStyle w:val="Normal"/>
        <w:keepNext w:val="true"/>
        <w:jc w:val="center"/>
        <w:rPr/>
      </w:pPr>
      <w:r>
        <w:rPr/>
      </w:r>
    </w:p>
    <w:p>
      <w:pPr>
        <w:pStyle w:val="Normal"/>
        <w:keepNext w:val="true"/>
        <w:jc w:val="center"/>
        <w:rPr/>
      </w:pPr>
      <w:r>
        <w:rPr/>
        <w:drawing>
          <wp:inline distT="0" distB="0" distL="0" distR="0">
            <wp:extent cx="2918460" cy="1583055"/>
            <wp:effectExtent l="0" t="0" r="0" b="0"/>
            <wp:docPr id="1" name="Image2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 Copy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6228" t="5153" r="12335" b="6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58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593975" cy="158242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4835" t="6504" r="12961" b="4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975" cy="158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aption"/>
        <w:jc w:val="both"/>
        <w:rPr>
          <w:rFonts w:cs="Times New Roman"/>
          <w:i w:val="false"/>
          <w:i w:val="false"/>
          <w:iCs w:val="false"/>
        </w:rPr>
      </w:pPr>
      <w:r>
        <w:rPr>
          <w:rFonts w:cs="Times New Roman"/>
          <w:i w:val="false"/>
          <w:iCs w:val="false"/>
        </w:rPr>
        <w:t xml:space="preserve">Рис. </w:t>
      </w:r>
      <w:r>
        <w:rPr>
          <w:rFonts w:cs="Times New Roman"/>
          <w:i w:val="false"/>
          <w:iCs w:val="false"/>
        </w:rPr>
        <w:fldChar w:fldCharType="begin"/>
      </w:r>
      <w:r>
        <w:rPr>
          <w:i w:val="false"/>
          <w:iCs w:val="false"/>
          <w:rFonts w:cs="Times New Roman"/>
        </w:rPr>
        <w:instrText xml:space="preserve"> SEQ Рис. \* ARABIC </w:instrText>
      </w:r>
      <w:r>
        <w:rPr>
          <w:i w:val="false"/>
          <w:iCs w:val="false"/>
          <w:rFonts w:cs="Times New Roman"/>
        </w:rPr>
        <w:fldChar w:fldCharType="separate"/>
      </w:r>
      <w:r>
        <w:rPr>
          <w:i w:val="false"/>
          <w:iCs w:val="false"/>
          <w:rFonts w:cs="Times New Roman"/>
        </w:rPr>
        <w:t>1</w:t>
      </w:r>
      <w:r>
        <w:rPr>
          <w:i w:val="false"/>
          <w:iCs w:val="false"/>
          <w:rFonts w:cs="Times New Roman"/>
        </w:rPr>
        <w:fldChar w:fldCharType="end"/>
      </w:r>
      <w:r>
        <w:rPr>
          <w:rFonts w:cs="Times New Roman"/>
          <w:i w:val="false"/>
          <w:iCs w:val="false"/>
        </w:rPr>
        <w:t xml:space="preserve">. </w:t>
      </w:r>
      <w:r>
        <w:rPr>
          <w:rFonts w:cs="Times New Roman"/>
          <w:i w:val="false"/>
          <w:iCs w:val="false"/>
        </w:rPr>
        <w:t>Слева: р</w:t>
      </w:r>
      <w:r>
        <w:rPr>
          <w:rFonts w:cs="Times New Roman"/>
          <w:i w:val="false"/>
          <w:iCs w:val="false"/>
        </w:rPr>
        <w:t xml:space="preserve">езультат деконволюции Ричардсона-Люси (точки) измеренных распределений кинетической энергии нейтронов (пунктирная линия) в сравнении с распределениями из моделирования (сплошная линия) с генераторами DCM-QGSM-SMM (синий) и UrQMD-AMC (оранжевый). </w:t>
      </w:r>
      <w:r>
        <w:rPr>
          <w:rFonts w:cs="Times New Roman"/>
          <w:i w:val="false"/>
          <w:iCs w:val="false"/>
        </w:rPr>
        <w:t>Справа: двойные дифференциальные сечения по телесному углу и быстроте данных ALADIN (круглые маркеры) и BM@N до коррекции акцептанса (треугольные закрашенные маркеры) и после (треугольные полые маркеры).</w:t>
      </w:r>
    </w:p>
    <w:p>
      <w:pPr>
        <w:pStyle w:val="Normal"/>
        <w:ind w:firstLine="397"/>
        <w:jc w:val="both"/>
        <w:rPr/>
      </w:pPr>
      <w:r>
        <w:rPr/>
        <w:t>В работе [</w:t>
      </w:r>
      <w:r>
        <w:rPr/>
        <w:t>6</w:t>
      </w:r>
      <w:r>
        <w:rPr/>
        <w:t xml:space="preserve">] было проведено измерение нейтронов-спектаторов в столкновениях 600A MeV </w:t>
      </w:r>
      <w:r>
        <w:rPr>
          <w:vertAlign w:val="superscript"/>
        </w:rPr>
        <w:t>124</w:t>
      </w:r>
      <w:r>
        <w:rPr/>
        <w:t xml:space="preserve">Sn и </w:t>
      </w:r>
      <w:r>
        <w:rPr>
          <w:vertAlign w:val="superscript"/>
        </w:rPr>
        <w:t>124</w:t>
      </w:r>
      <w:r>
        <w:rPr/>
        <w:t xml:space="preserve">La с мишенью </w:t>
      </w:r>
      <w:r>
        <w:rPr>
          <w:vertAlign w:val="superscript"/>
        </w:rPr>
        <w:t>124</w:t>
      </w:r>
      <w:r>
        <w:rPr/>
        <w:t xml:space="preserve">Sn на установке ALADIN с помощью детектора LAND под углом меньше 2 градусов. Для сравнения с данными измерениями необходимо было дополнительно провести коррекцию на акцептанс, так как прототип HGND меряет нейтроны в гораздо более узком конусе около 0,3 градусов. Для этого было проведено моделирование, в котором была оценена разница в количестве нейтронов на в акцептансе измерений LAND по сравнению с акцептансом HGND, составившая около 7,9 раз. Измеренные двойные дифференциальные сечения по телесному углу и быстроте показаны на рис. </w:t>
      </w:r>
      <w:r>
        <w:rPr/>
        <w:t>1 (справа)</w:t>
      </w:r>
      <w:r>
        <w:rPr/>
        <w:t>, где круглыми маркерами показаны измерения на ALADIN, а треугольными маркерами результат измерений на BM@N до коррекции на акцептанс для сравнения с LAND (закрашенные маркеры) и после коррекции (полые маркеры). Полученные результаты показывают слабую зависимость от энергии пучка, что предлагается в рамках концепции предельной фрагментации.</w:t>
      </w:r>
    </w:p>
    <w:p>
      <w:pPr>
        <w:pStyle w:val="13"/>
        <w:rPr/>
      </w:pPr>
      <w:r>
        <w:rPr/>
        <w:t>Литература</w:t>
      </w:r>
    </w:p>
    <w:p>
      <w:pPr>
        <w:pStyle w:val="ListParagraph"/>
        <w:numPr>
          <w:ilvl w:val="0"/>
          <w:numId w:val="4"/>
        </w:numPr>
        <w:spacing w:before="0" w:after="120"/>
        <w:ind w:hanging="284" w:start="284"/>
        <w:contextualSpacing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/>
        </w:rPr>
        <w:t>Guber, F. et al. Development of High Granular Neutron Time-of-Flight Detector for the BM@N experiment //</w:t>
      </w:r>
      <w:r>
        <w:rPr>
          <w:rFonts w:cs="Times New Roman" w:ascii="Times New Roman" w:hAnsi="Times New Roman"/>
          <w:lang w:val="en-US" w:eastAsia="ru-RU"/>
        </w:rPr>
        <w:t xml:space="preserve"> Experiment. Instrum. Exp. Tech., 67(3), 447–456 (2024).</w:t>
      </w:r>
      <w:r>
        <w:rPr>
          <w:rFonts w:cs="Times New Roman" w:ascii="Times New Roman" w:hAnsi="Times New Roman"/>
          <w:lang w:val="en-US"/>
        </w:rPr>
        <w:t xml:space="preserve"> </w:t>
      </w:r>
    </w:p>
    <w:p>
      <w:pPr>
        <w:pStyle w:val="ListParagraph"/>
        <w:numPr>
          <w:ilvl w:val="0"/>
          <w:numId w:val="3"/>
        </w:numPr>
        <w:spacing w:before="0" w:after="120"/>
        <w:ind w:hanging="284" w:start="284"/>
        <w:contextualSpacing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/>
        </w:rPr>
        <w:t xml:space="preserve">Zubankov, A.A. et al. Performance study of the Highly Granular Neutron Detector prototype in the BM@N experiment // Nucl. Sci. Tech., 36: 226 </w:t>
      </w:r>
      <w:r>
        <w:rPr>
          <w:rFonts w:cs="Times New Roman" w:ascii="Times New Roman" w:hAnsi="Times New Roman"/>
          <w:lang w:val="en-US"/>
        </w:rPr>
        <w:t>(</w:t>
      </w:r>
      <w:r>
        <w:rPr>
          <w:rFonts w:cs="Times New Roman" w:ascii="Times New Roman" w:hAnsi="Times New Roman"/>
          <w:lang w:val="en-US"/>
        </w:rPr>
        <w:t>2025</w:t>
      </w:r>
      <w:r>
        <w:rPr>
          <w:rFonts w:cs="Times New Roman" w:ascii="Times New Roman" w:hAnsi="Times New Roman"/>
          <w:lang w:val="en-US"/>
        </w:rPr>
        <w:t>)</w:t>
      </w:r>
      <w:r>
        <w:rPr>
          <w:rFonts w:cs="Times New Roman" w:ascii="Times New Roman" w:hAnsi="Times New Roman"/>
          <w:lang w:val="en-US"/>
        </w:rPr>
        <w:t>.</w:t>
      </w:r>
    </w:p>
    <w:p>
      <w:pPr>
        <w:pStyle w:val="ListParagraph"/>
        <w:numPr>
          <w:ilvl w:val="0"/>
          <w:numId w:val="3"/>
        </w:numPr>
        <w:spacing w:before="0" w:after="120"/>
        <w:ind w:hanging="284" w:start="284"/>
        <w:contextualSpacing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/>
        </w:rPr>
        <w:t xml:space="preserve">Plotnikov, V.A., Kapishin, M.N. Evaluation of Trigger Efficiency in the BM@N Experiment Session with a Beam of Xenon Ions with a Kinetic Energy of 3.8 AgeV // Phys. Part. Nuclei Lett., 22. </w:t>
      </w:r>
      <w:r>
        <w:rPr>
          <w:rFonts w:cs="Times New Roman" w:ascii="Times New Roman" w:hAnsi="Times New Roman"/>
          <w:lang w:val="en-US"/>
        </w:rPr>
        <w:t>p</w:t>
      </w:r>
      <w:r>
        <w:rPr>
          <w:rFonts w:cs="Times New Roman" w:ascii="Times New Roman" w:hAnsi="Times New Roman"/>
          <w:lang w:val="en-US"/>
        </w:rPr>
        <w:t xml:space="preserve">. 1406–1415 </w:t>
      </w:r>
      <w:r>
        <w:rPr>
          <w:rFonts w:cs="Times New Roman" w:ascii="Times New Roman" w:hAnsi="Times New Roman"/>
          <w:lang w:val="en-US"/>
        </w:rPr>
        <w:t>(2025)</w:t>
      </w:r>
      <w:r>
        <w:rPr>
          <w:rFonts w:cs="Times New Roman" w:ascii="Times New Roman" w:hAnsi="Times New Roman"/>
          <w:lang w:val="en-US"/>
        </w:rPr>
        <w:t>.​</w:t>
      </w:r>
    </w:p>
    <w:p>
      <w:pPr>
        <w:pStyle w:val="ListParagraph"/>
        <w:numPr>
          <w:ilvl w:val="0"/>
          <w:numId w:val="3"/>
        </w:numPr>
        <w:spacing w:before="0" w:after="120"/>
        <w:ind w:hanging="284" w:start="284"/>
        <w:contextualSpacing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/>
        </w:rPr>
        <w:t xml:space="preserve">Baznat, M. et al. Monte-Carlo Generator of Heavy Ion Collisions DCM-SMM // Phys. Part. Nucl. Lett., 17: 303 </w:t>
      </w:r>
      <w:r>
        <w:rPr>
          <w:rFonts w:cs="Times New Roman" w:ascii="Times New Roman" w:hAnsi="Times New Roman"/>
          <w:lang w:val="en-US"/>
        </w:rPr>
        <w:t>(2020)</w:t>
      </w:r>
      <w:r>
        <w:rPr>
          <w:rFonts w:cs="Times New Roman" w:ascii="Times New Roman" w:hAnsi="Times New Roman"/>
          <w:lang w:val="en-US"/>
        </w:rPr>
        <w:t>.</w:t>
      </w:r>
    </w:p>
    <w:p>
      <w:pPr>
        <w:pStyle w:val="ListParagraph"/>
        <w:numPr>
          <w:ilvl w:val="0"/>
          <w:numId w:val="3"/>
        </w:numPr>
        <w:spacing w:before="0" w:after="120"/>
        <w:ind w:hanging="284" w:start="284"/>
        <w:contextualSpacing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/>
        </w:rPr>
        <w:t xml:space="preserve">Svetlichnyi, A.O. et al. Production of spectator neutrons, protons and light fragments on fixed targets at NICA // arXiv preprint. arXiv: 2510.02992v2 </w:t>
      </w:r>
      <w:r>
        <w:rPr>
          <w:rFonts w:cs="Times New Roman" w:ascii="Times New Roman" w:hAnsi="Times New Roman"/>
          <w:lang w:val="en-US"/>
        </w:rPr>
        <w:t>(2025)</w:t>
      </w:r>
      <w:r>
        <w:rPr>
          <w:rFonts w:cs="Times New Roman" w:ascii="Times New Roman" w:hAnsi="Times New Roman"/>
          <w:lang w:val="en-US"/>
        </w:rPr>
        <w:t>.</w:t>
      </w:r>
    </w:p>
    <w:p>
      <w:pPr>
        <w:pStyle w:val="ListParagraph"/>
        <w:numPr>
          <w:ilvl w:val="0"/>
          <w:numId w:val="3"/>
        </w:numPr>
        <w:spacing w:before="0" w:after="120"/>
        <w:ind w:hanging="284" w:start="284"/>
        <w:contextualSpacing/>
        <w:jc w:val="both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/>
        </w:rPr>
        <w:t>Pawłowski, P. et al. Neutrons from projectile fragmentation at 600 MeV/nucleon // Phys. Rev. C, 108: 044610</w:t>
      </w:r>
      <w:r>
        <w:rPr>
          <w:rFonts w:cs="Times New Roman" w:ascii="Times New Roman" w:hAnsi="Times New Roman"/>
          <w:lang w:val="en-US"/>
        </w:rPr>
        <w:t xml:space="preserve"> (2023)</w:t>
      </w:r>
      <w:r>
        <w:rPr>
          <w:rFonts w:cs="Times New Roman" w:ascii="Times New Roman" w:hAnsi="Times New Roman"/>
          <w:lang w:val="en-US"/>
        </w:rPr>
        <w:t>.</w:t>
      </w:r>
    </w:p>
    <w:sectPr>
      <w:type w:val="nextPage"/>
      <w:pgSz w:w="11906" w:h="16838"/>
      <w:pgMar w:left="1361" w:right="1361" w:gutter="0" w:header="0" w:top="1134" w:footer="0" w:bottom="1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851" w:hanging="397"/>
      </w:pPr>
      <w:rPr>
        <w:sz w:val="22"/>
        <w:szCs w:val="22"/>
        <w:rFonts w:cs="Times New Roman"/>
        <w:lang w:val="ru-RU"/>
      </w:rPr>
    </w:lvl>
    <w:lvl w:ilvl="1">
      <w:start w:val="1"/>
      <w:numFmt w:val="lowerLetter"/>
      <w:lvlText w:val="%2."/>
      <w:lvlJc w:val="start"/>
      <w:pPr>
        <w:tabs>
          <w:tab w:val="num" w:pos="1800"/>
        </w:tabs>
        <w:ind w:start="180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851" w:hanging="397"/>
      </w:pPr>
      <w:rPr>
        <w:sz w:val="22"/>
        <w:szCs w:val="22"/>
        <w:rFonts w:cs="Times New Roman"/>
        <w:lang w:val="ru-RU"/>
      </w:rPr>
    </w:lvl>
    <w:lvl w:ilvl="1">
      <w:start w:val="1"/>
      <w:numFmt w:val="lowerLetter"/>
      <w:lvlText w:val="%2."/>
      <w:lvlJc w:val="start"/>
      <w:pPr>
        <w:tabs>
          <w:tab w:val="num" w:pos="1800"/>
        </w:tabs>
        <w:ind w:start="180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mirrorMargins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0b4b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link w:val="FootnoteText"/>
    <w:uiPriority w:val="99"/>
    <w:semiHidden/>
    <w:qFormat/>
    <w:rsid w:val="00600b4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-" w:customStyle="1">
    <w:name w:val="Интернет-ссылка"/>
    <w:basedOn w:val="DefaultParagraphFont"/>
    <w:uiPriority w:val="99"/>
    <w:unhideWhenUsed/>
    <w:qFormat/>
    <w:rsid w:val="00f9180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91806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035a16"/>
    <w:rPr>
      <w:color w:val="80808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00b4b"/>
    <w:pPr>
      <w:widowControl w:val="false"/>
      <w:spacing w:before="0" w:after="0"/>
      <w:ind w:start="720"/>
      <w:contextualSpacing/>
    </w:pPr>
    <w:rPr>
      <w:rFonts w:ascii="Calibri" w:hAnsi="Calibri" w:cs="Calibri"/>
      <w:lang w:eastAsia="zh-CN"/>
    </w:rPr>
  </w:style>
  <w:style w:type="paragraph" w:styleId="10" w:customStyle="1">
    <w:name w:val="Стиль10"/>
    <w:basedOn w:val="Normal"/>
    <w:qFormat/>
    <w:rsid w:val="00600b4b"/>
    <w:pPr>
      <w:keepNext w:val="true"/>
      <w:spacing w:before="120" w:after="120"/>
      <w:jc w:val="center"/>
      <w:outlineLvl w:val="1"/>
    </w:pPr>
    <w:rPr>
      <w:rFonts w:eastAsia="Calibri"/>
      <w:b/>
      <w:sz w:val="28"/>
      <w:szCs w:val="28"/>
    </w:rPr>
  </w:style>
  <w:style w:type="paragraph" w:styleId="11" w:customStyle="1">
    <w:name w:val="Стиль11"/>
    <w:basedOn w:val="Normal"/>
    <w:qFormat/>
    <w:rsid w:val="00600b4b"/>
    <w:pPr>
      <w:keepNext w:val="true"/>
      <w:spacing w:before="120" w:after="0"/>
      <w:jc w:val="center"/>
      <w:outlineLvl w:val="0"/>
    </w:pPr>
    <w:rPr>
      <w:rFonts w:eastAsia="Calibri"/>
      <w:b/>
      <w:i/>
      <w:iCs/>
    </w:rPr>
  </w:style>
  <w:style w:type="paragraph" w:styleId="12" w:customStyle="1">
    <w:name w:val="Стиль12"/>
    <w:basedOn w:val="Normal"/>
    <w:qFormat/>
    <w:rsid w:val="00600b4b"/>
    <w:pPr>
      <w:keepNext w:val="true"/>
      <w:keepLines/>
      <w:spacing w:before="120" w:after="120"/>
      <w:jc w:val="center"/>
    </w:pPr>
    <w:rPr>
      <w:rFonts w:eastAsia="Calibri"/>
      <w:sz w:val="20"/>
      <w:szCs w:val="20"/>
    </w:rPr>
  </w:style>
  <w:style w:type="paragraph" w:styleId="13" w:customStyle="1">
    <w:name w:val="Стиль13"/>
    <w:basedOn w:val="Normal"/>
    <w:qFormat/>
    <w:rsid w:val="00600b4b"/>
    <w:pPr>
      <w:keepNext w:val="true"/>
      <w:spacing w:before="240" w:after="120"/>
      <w:jc w:val="center"/>
    </w:pPr>
    <w:rPr>
      <w:rFonts w:eastAsia="Calibri"/>
      <w:b/>
    </w:rPr>
  </w:style>
  <w:style w:type="paragraph" w:styleId="14" w:customStyle="1">
    <w:name w:val="Стиль14"/>
    <w:basedOn w:val="Normal"/>
    <w:qFormat/>
    <w:rsid w:val="00600b4b"/>
    <w:pPr>
      <w:keepNext w:val="true"/>
      <w:spacing w:before="600" w:after="0"/>
      <w:ind w:firstLine="709"/>
      <w:jc w:val="both"/>
    </w:pPr>
    <w:rPr>
      <w:rFonts w:eastAsia="Calibri"/>
    </w:rPr>
  </w:style>
  <w:style w:type="paragraph" w:styleId="15" w:customStyle="1">
    <w:name w:val="Стиль15"/>
    <w:basedOn w:val="Normal"/>
    <w:qFormat/>
    <w:rsid w:val="00600b4b"/>
    <w:pPr>
      <w:keepNext w:val="true"/>
      <w:spacing w:before="360" w:after="0"/>
      <w:jc w:val="center"/>
    </w:pPr>
    <w:rPr>
      <w:lang w:val="en-US"/>
    </w:rPr>
  </w:style>
  <w:style w:type="paragraph" w:styleId="16" w:customStyle="1">
    <w:name w:val="Стиль16"/>
    <w:basedOn w:val="Normal"/>
    <w:qFormat/>
    <w:rsid w:val="00600b4b"/>
    <w:pPr>
      <w:keepLines/>
      <w:spacing w:before="120" w:after="240"/>
      <w:jc w:val="center"/>
    </w:pPr>
    <w:rPr>
      <w:sz w:val="22"/>
      <w:szCs w:val="22"/>
    </w:rPr>
  </w:style>
  <w:style w:type="paragraph" w:styleId="21" w:customStyle="1">
    <w:name w:val="Стиль21"/>
    <w:basedOn w:val="FootnoteText"/>
    <w:qFormat/>
    <w:rsid w:val="00600b4b"/>
    <w:pPr>
      <w:tabs>
        <w:tab w:val="clear" w:pos="708"/>
        <w:tab w:val="center" w:pos="4253" w:leader="none"/>
        <w:tab w:val="right" w:pos="9214" w:leader="none"/>
      </w:tabs>
      <w:spacing w:before="60" w:after="60"/>
    </w:pPr>
    <w:rPr>
      <w:sz w:val="24"/>
      <w:szCs w:val="24"/>
      <w:lang w:eastAsia="en-US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600b4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LibreOffice/25.8.1.1$Linux_X86_64 LibreOffice_project/580$Build-1</Application>
  <AppVersion>15.0000</AppVersion>
  <Pages>2</Pages>
  <Words>683</Words>
  <Characters>4581</Characters>
  <CharactersWithSpaces>5245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2025-03-03T16:04:00Z</dcterms:created>
  <dc:creator>User</dc:creator>
  <dc:description/>
  <dc:language>ru-RU</dc:language>
  <cp:lastModifiedBy/>
  <dcterms:modified xsi:type="dcterms:W3CDTF">2026-03-02T00:05:19Z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