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1113" w14:textId="3A5F55FB" w:rsidR="00957888" w:rsidRP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4E86">
        <w:rPr>
          <w:rFonts w:ascii="Times New Roman" w:hAnsi="Times New Roman" w:cs="Times New Roman"/>
          <w:b/>
          <w:sz w:val="24"/>
          <w:szCs w:val="24"/>
        </w:rPr>
        <w:t>Исследование влияния изменения аксиального профиля энерговыделения на нейтронно-физические характеристики ТВС реактора ВВЭР-1200</w:t>
      </w:r>
    </w:p>
    <w:p w14:paraId="0A30B7E2" w14:textId="1965E9D9" w:rsidR="00957888" w:rsidRPr="00994E86" w:rsidRDefault="00957888" w:rsidP="00994E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4E86">
        <w:rPr>
          <w:rFonts w:ascii="Times New Roman" w:hAnsi="Times New Roman" w:cs="Times New Roman"/>
          <w:b/>
          <w:i/>
          <w:sz w:val="24"/>
          <w:szCs w:val="24"/>
        </w:rPr>
        <w:t>Беляев А.Е</w:t>
      </w:r>
      <w:r w:rsidR="00994E86" w:rsidRPr="00994E8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994E8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994E86">
        <w:rPr>
          <w:rFonts w:ascii="Times New Roman" w:hAnsi="Times New Roman" w:cs="Times New Roman"/>
          <w:b/>
          <w:i/>
          <w:sz w:val="24"/>
          <w:szCs w:val="24"/>
        </w:rPr>
        <w:t>Лубнин</w:t>
      </w:r>
      <w:proofErr w:type="spellEnd"/>
      <w:r w:rsidR="00994E86">
        <w:rPr>
          <w:rFonts w:ascii="Times New Roman" w:hAnsi="Times New Roman" w:cs="Times New Roman"/>
          <w:b/>
          <w:i/>
          <w:sz w:val="24"/>
          <w:szCs w:val="24"/>
        </w:rPr>
        <w:t xml:space="preserve"> А.А.</w:t>
      </w:r>
      <w:r w:rsidR="00994E86" w:rsidRPr="00994E8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39378AD5" w14:textId="5F5D7443" w:rsidR="00994E86" w:rsidRP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94E8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1</w:t>
      </w:r>
      <w:r w:rsidRPr="00994E86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</w:p>
    <w:p w14:paraId="0A0B1280" w14:textId="77777777" w:rsidR="00957888" w:rsidRPr="00994E86" w:rsidRDefault="00957888" w:rsidP="00994E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4E86">
        <w:rPr>
          <w:rFonts w:ascii="Times New Roman" w:hAnsi="Times New Roman" w:cs="Times New Roman"/>
          <w:i/>
          <w:iCs/>
          <w:sz w:val="24"/>
          <w:szCs w:val="24"/>
        </w:rPr>
        <w:t>Обнинский институт атомной энергетики – филиал Национального исследовательского ядерного университета «МИФИ», Обнинск</w:t>
      </w:r>
    </w:p>
    <w:p w14:paraId="65D17138" w14:textId="3367E3F0" w:rsidR="00957888" w:rsidRDefault="002D1553" w:rsidP="00994E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</w:t>
        </w:r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belyaeff</w:t>
        </w:r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</w:rPr>
          <w:t>111@</w:t>
        </w:r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994E86" w:rsidRPr="00542D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1A2CC38D" w14:textId="77777777" w:rsidR="00994E86" w:rsidRP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09512" w14:textId="45B2C6C1" w:rsidR="00994E86" w:rsidRPr="00994E86" w:rsidRDefault="00957888" w:rsidP="00994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ядерного топлива в реакторах является приоритетной задачей атомной энергетики. Одним из эффективных путей ее решения служит снижение неравномерности выгорания топлива, что 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потенциально </w:t>
      </w:r>
      <w:r w:rsidRPr="00994E86">
        <w:rPr>
          <w:rFonts w:ascii="Times New Roman" w:hAnsi="Times New Roman" w:cs="Times New Roman"/>
          <w:sz w:val="24"/>
          <w:szCs w:val="24"/>
        </w:rPr>
        <w:t>позвол</w:t>
      </w:r>
      <w:r w:rsidR="00994E86" w:rsidRPr="00994E86">
        <w:rPr>
          <w:rFonts w:ascii="Times New Roman" w:hAnsi="Times New Roman" w:cs="Times New Roman"/>
          <w:sz w:val="24"/>
          <w:szCs w:val="24"/>
        </w:rPr>
        <w:t>и</w:t>
      </w:r>
      <w:r w:rsidRPr="00994E86">
        <w:rPr>
          <w:rFonts w:ascii="Times New Roman" w:hAnsi="Times New Roman" w:cs="Times New Roman"/>
          <w:sz w:val="24"/>
          <w:szCs w:val="24"/>
        </w:rPr>
        <w:t xml:space="preserve">т увеличить длительность кампании. </w:t>
      </w:r>
    </w:p>
    <w:p w14:paraId="71B0D0C1" w14:textId="77777777" w:rsidR="00994E86" w:rsidRPr="00994E86" w:rsidRDefault="00957888" w:rsidP="00994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sz w:val="24"/>
          <w:szCs w:val="24"/>
        </w:rPr>
        <w:t>Выравнивание выгорания топлива достигается несколькими методами, среди которых: использование выгорающих поглотителей, частичная перегрузка топлива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 также позволяют выравнивать профиль нейтронного поля и энерговыделения,</w:t>
      </w:r>
      <w:r w:rsidRPr="00994E86">
        <w:rPr>
          <w:rFonts w:ascii="Times New Roman" w:hAnsi="Times New Roman" w:cs="Times New Roman"/>
          <w:sz w:val="24"/>
          <w:szCs w:val="24"/>
        </w:rPr>
        <w:t xml:space="preserve"> профилирование топлива в тепловыделяющих элементах (твэлах).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 Последнее актуально с точки зрения дожигания делящихся нуклидов в изготавливаемом топливе. </w:t>
      </w:r>
      <w:r w:rsidRPr="00994E86">
        <w:rPr>
          <w:rFonts w:ascii="Times New Roman" w:hAnsi="Times New Roman" w:cs="Times New Roman"/>
          <w:sz w:val="24"/>
          <w:szCs w:val="24"/>
        </w:rPr>
        <w:t>Выгорающие поглотители позволяют снизить максимальные значения энерговыделения в начале кампании, однако к середине кампании они выгорают и не оказывают того же эффекта.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 Более того, их использование негативно с точки зрения баланса нейтронов: изначально на каждый акт деления приходится 2.4-2.8 рожденных нейтрона со средней энергией 2 МэВ, часть из которых уходит на «паразитный захват» в топливе, конструкционных материалах, теплоносителе. Использование гадолиния увеличивает убыль нейтронов в балансе.</w:t>
      </w:r>
      <w:r w:rsidRPr="00994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5A15C" w14:textId="77777777" w:rsidR="00994E86" w:rsidRPr="00994E86" w:rsidRDefault="00957888" w:rsidP="00994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sz w:val="24"/>
          <w:szCs w:val="24"/>
        </w:rPr>
        <w:t>Среди предложенных методов профилирова</w:t>
      </w:r>
      <w:r w:rsidR="00994E86" w:rsidRPr="00994E86">
        <w:rPr>
          <w:rFonts w:ascii="Times New Roman" w:hAnsi="Times New Roman" w:cs="Times New Roman"/>
          <w:sz w:val="24"/>
          <w:szCs w:val="24"/>
        </w:rPr>
        <w:t>н</w:t>
      </w:r>
      <w:r w:rsidRPr="00994E86">
        <w:rPr>
          <w:rFonts w:ascii="Times New Roman" w:hAnsi="Times New Roman" w:cs="Times New Roman"/>
          <w:sz w:val="24"/>
          <w:szCs w:val="24"/>
        </w:rPr>
        <w:t>ие является предпочтительн</w:t>
      </w:r>
      <w:r w:rsidR="00994E86" w:rsidRPr="00994E86">
        <w:rPr>
          <w:rFonts w:ascii="Times New Roman" w:hAnsi="Times New Roman" w:cs="Times New Roman"/>
          <w:sz w:val="24"/>
          <w:szCs w:val="24"/>
        </w:rPr>
        <w:t>ее</w:t>
      </w:r>
      <w:r w:rsidRPr="00994E86">
        <w:rPr>
          <w:rFonts w:ascii="Times New Roman" w:hAnsi="Times New Roman" w:cs="Times New Roman"/>
          <w:sz w:val="24"/>
          <w:szCs w:val="24"/>
        </w:rPr>
        <w:t>, так как оно предоставляет возможность влиять на значения энерговыделения как по всему объему активной зоны/ТВС</w:t>
      </w:r>
      <w:r w:rsidR="00994E86" w:rsidRPr="00994E86">
        <w:rPr>
          <w:rFonts w:ascii="Times New Roman" w:hAnsi="Times New Roman" w:cs="Times New Roman"/>
          <w:sz w:val="24"/>
          <w:szCs w:val="24"/>
        </w:rPr>
        <w:t>, а также не имеет отрицательную составляющую в балансе нейтронов, эквивалентную выгорающим поглотителям (часть нейтронов приводит к образованию новых).</w:t>
      </w:r>
      <w:r w:rsidRPr="00994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EB745" w14:textId="77777777" w:rsidR="00994E86" w:rsidRDefault="00957888" w:rsidP="00994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sz w:val="24"/>
          <w:szCs w:val="24"/>
        </w:rPr>
        <w:t>В работе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 рассматривается задача аксиального</w:t>
      </w:r>
      <w:r w:rsidRPr="00994E86">
        <w:rPr>
          <w:rFonts w:ascii="Times New Roman" w:hAnsi="Times New Roman" w:cs="Times New Roman"/>
          <w:sz w:val="24"/>
          <w:szCs w:val="24"/>
        </w:rPr>
        <w:t xml:space="preserve"> профилировани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я. Предлагается </w:t>
      </w:r>
      <w:r w:rsidRPr="00994E86">
        <w:rPr>
          <w:rFonts w:ascii="Times New Roman" w:hAnsi="Times New Roman" w:cs="Times New Roman"/>
          <w:sz w:val="24"/>
          <w:szCs w:val="24"/>
        </w:rPr>
        <w:t>перераспредел</w:t>
      </w:r>
      <w:r w:rsidR="00994E86" w:rsidRPr="00994E86">
        <w:rPr>
          <w:rFonts w:ascii="Times New Roman" w:hAnsi="Times New Roman" w:cs="Times New Roman"/>
          <w:sz w:val="24"/>
          <w:szCs w:val="24"/>
        </w:rPr>
        <w:t>ять</w:t>
      </w:r>
      <w:r w:rsidRPr="00994E86">
        <w:rPr>
          <w:rFonts w:ascii="Times New Roman" w:hAnsi="Times New Roman" w:cs="Times New Roman"/>
          <w:sz w:val="24"/>
          <w:szCs w:val="24"/>
        </w:rPr>
        <w:t xml:space="preserve"> яд</w:t>
      </w:r>
      <w:r w:rsidR="00994E86" w:rsidRPr="00994E86">
        <w:rPr>
          <w:rFonts w:ascii="Times New Roman" w:hAnsi="Times New Roman" w:cs="Times New Roman"/>
          <w:sz w:val="24"/>
          <w:szCs w:val="24"/>
        </w:rPr>
        <w:t>ра</w:t>
      </w:r>
      <w:r w:rsidRPr="00994E86">
        <w:rPr>
          <w:rFonts w:ascii="Times New Roman" w:hAnsi="Times New Roman" w:cs="Times New Roman"/>
          <w:sz w:val="24"/>
          <w:szCs w:val="24"/>
        </w:rPr>
        <w:t xml:space="preserve"> урана-235 по высоте топливной части твэла</w:t>
      </w:r>
      <w:r w:rsidR="00994E86" w:rsidRPr="00994E86">
        <w:rPr>
          <w:rFonts w:ascii="Times New Roman" w:hAnsi="Times New Roman" w:cs="Times New Roman"/>
          <w:sz w:val="24"/>
          <w:szCs w:val="24"/>
        </w:rPr>
        <w:t xml:space="preserve"> пропорционально плотности потока нейтронов</w:t>
      </w:r>
      <w:r w:rsidRPr="00994E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A8FA7" w14:textId="4CCE6977" w:rsidR="00994E86" w:rsidRP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position w:val="-14"/>
          <w:sz w:val="24"/>
          <w:szCs w:val="24"/>
        </w:rPr>
        <w:object w:dxaOrig="2620" w:dyaOrig="440" w14:anchorId="46553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4pt;height:21.6pt" o:ole="">
            <v:imagedata r:id="rId6" o:title=""/>
          </v:shape>
          <o:OLEObject Type="Embed" ProgID="Equation.DSMT4" ShapeID="_x0000_i1025" DrawAspect="Content" ObjectID="_1833893588" r:id="rId7"/>
        </w:object>
      </w:r>
      <w:r w:rsidRPr="00994E86">
        <w:rPr>
          <w:rFonts w:ascii="Times New Roman" w:hAnsi="Times New Roman" w:cs="Times New Roman"/>
          <w:sz w:val="24"/>
          <w:szCs w:val="24"/>
        </w:rPr>
        <w:t>,</w:t>
      </w:r>
    </w:p>
    <w:p w14:paraId="65DCEE72" w14:textId="76637341" w:rsidR="00994E86" w:rsidRPr="000F438B" w:rsidRDefault="00994E86" w:rsidP="0099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sz w:val="24"/>
          <w:szCs w:val="24"/>
        </w:rPr>
        <w:t xml:space="preserve">где </w:t>
      </w:r>
      <w:r w:rsidRPr="00994E86">
        <w:rPr>
          <w:rFonts w:ascii="Times New Roman" w:hAnsi="Times New Roman" w:cs="Times New Roman"/>
          <w:position w:val="-14"/>
        </w:rPr>
        <w:object w:dxaOrig="400" w:dyaOrig="400" w14:anchorId="2FE90AFC">
          <v:shape id="_x0000_i1026" type="#_x0000_t75" style="width:20.4pt;height:20.4pt" o:ole="">
            <v:imagedata r:id="rId8" o:title=""/>
          </v:shape>
          <o:OLEObject Type="Embed" ProgID="Equation.DSMT4" ShapeID="_x0000_i1026" DrawAspect="Content" ObjectID="_1833893589" r:id="rId9"/>
        </w:object>
      </w:r>
      <w:r w:rsidRPr="00994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94E86">
        <w:rPr>
          <w:rFonts w:ascii="Times New Roman" w:hAnsi="Times New Roman" w:cs="Times New Roman"/>
        </w:rPr>
        <w:t xml:space="preserve"> плотность потока нейтронов средняя в данной итерации, </w:t>
      </w:r>
      <w:r w:rsidRPr="00994E86">
        <w:rPr>
          <w:rFonts w:ascii="Times New Roman" w:hAnsi="Times New Roman" w:cs="Times New Roman"/>
          <w:position w:val="-14"/>
        </w:rPr>
        <w:object w:dxaOrig="320" w:dyaOrig="400" w14:anchorId="43EC3512">
          <v:shape id="_x0000_i1027" type="#_x0000_t75" style="width:15.6pt;height:20.4pt" o:ole="">
            <v:imagedata r:id="rId10" o:title=""/>
          </v:shape>
          <o:OLEObject Type="Embed" ProgID="Equation.DSMT4" ShapeID="_x0000_i1027" DrawAspect="Content" ObjectID="_1833893590" r:id="rId11"/>
        </w:object>
      </w:r>
      <w:r w:rsidRPr="00994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94E86">
        <w:rPr>
          <w:rFonts w:ascii="Times New Roman" w:hAnsi="Times New Roman" w:cs="Times New Roman"/>
        </w:rPr>
        <w:t xml:space="preserve"> плотность потока нейтронов в данной итерации в </w:t>
      </w:r>
      <w:proofErr w:type="spellStart"/>
      <w:r w:rsidRPr="00994E86">
        <w:rPr>
          <w:rFonts w:ascii="Times New Roman" w:hAnsi="Times New Roman" w:cs="Times New Roman"/>
          <w:lang w:val="en-US"/>
        </w:rPr>
        <w:t>i</w:t>
      </w:r>
      <w:proofErr w:type="spellEnd"/>
      <w:r w:rsidRPr="00994E86">
        <w:rPr>
          <w:rFonts w:ascii="Times New Roman" w:hAnsi="Times New Roman" w:cs="Times New Roman"/>
        </w:rPr>
        <w:t xml:space="preserve">-ой зоне, </w:t>
      </w:r>
      <w:r w:rsidRPr="00994E86">
        <w:rPr>
          <w:rFonts w:ascii="Times New Roman" w:hAnsi="Times New Roman" w:cs="Times New Roman"/>
          <w:position w:val="-14"/>
        </w:rPr>
        <w:object w:dxaOrig="720" w:dyaOrig="440" w14:anchorId="54A5B751">
          <v:shape id="_x0000_i1028" type="#_x0000_t75" style="width:36pt;height:21.6pt" o:ole="">
            <v:imagedata r:id="rId12" o:title=""/>
          </v:shape>
          <o:OLEObject Type="Embed" ProgID="Equation.DSMT4" ShapeID="_x0000_i1028" DrawAspect="Content" ObjectID="_1833893591" r:id="rId13"/>
        </w:object>
      </w:r>
      <w:r w:rsidRPr="00994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94E86">
        <w:rPr>
          <w:rFonts w:ascii="Times New Roman" w:hAnsi="Times New Roman" w:cs="Times New Roman"/>
        </w:rPr>
        <w:t xml:space="preserve"> количество ядер 235</w:t>
      </w:r>
      <w:r w:rsidRPr="00994E86">
        <w:rPr>
          <w:rFonts w:ascii="Times New Roman" w:hAnsi="Times New Roman" w:cs="Times New Roman"/>
          <w:lang w:val="en-US"/>
        </w:rPr>
        <w:t>U</w:t>
      </w:r>
      <w:r w:rsidRPr="00994E86">
        <w:rPr>
          <w:rFonts w:ascii="Times New Roman" w:hAnsi="Times New Roman" w:cs="Times New Roman"/>
        </w:rPr>
        <w:t xml:space="preserve"> в данной итерации в данной зоне, </w:t>
      </w:r>
      <w:r w:rsidRPr="00994E86">
        <w:rPr>
          <w:rFonts w:ascii="Times New Roman" w:hAnsi="Times New Roman" w:cs="Times New Roman"/>
          <w:position w:val="-14"/>
        </w:rPr>
        <w:object w:dxaOrig="840" w:dyaOrig="440" w14:anchorId="40EB3A21">
          <v:shape id="_x0000_i1029" type="#_x0000_t75" style="width:42pt;height:21.6pt" o:ole="">
            <v:imagedata r:id="rId14" o:title=""/>
          </v:shape>
          <o:OLEObject Type="Embed" ProgID="Equation.DSMT4" ShapeID="_x0000_i1029" DrawAspect="Content" ObjectID="_1833893592" r:id="rId15"/>
        </w:object>
      </w:r>
      <w:r w:rsidRPr="00994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94E86">
        <w:rPr>
          <w:rFonts w:ascii="Times New Roman" w:hAnsi="Times New Roman" w:cs="Times New Roman"/>
        </w:rPr>
        <w:t xml:space="preserve"> количество ядер 235</w:t>
      </w:r>
      <w:r w:rsidRPr="00994E86">
        <w:rPr>
          <w:rFonts w:ascii="Times New Roman" w:hAnsi="Times New Roman" w:cs="Times New Roman"/>
          <w:lang w:val="en-US"/>
        </w:rPr>
        <w:t>U</w:t>
      </w:r>
      <w:r w:rsidRPr="00994E86">
        <w:rPr>
          <w:rFonts w:ascii="Times New Roman" w:hAnsi="Times New Roman" w:cs="Times New Roman"/>
        </w:rPr>
        <w:t xml:space="preserve"> в новой итерации в данной зоне. </w:t>
      </w:r>
      <w:r>
        <w:rPr>
          <w:rFonts w:ascii="Times New Roman" w:hAnsi="Times New Roman" w:cs="Times New Roman"/>
        </w:rPr>
        <w:t xml:space="preserve">Для сохранения общего количества делящихся ядер в топливе (сохранения потребляемого количества природного урана) предлагается возможно внесение поправочного коэффициента </w:t>
      </w:r>
      <w:r w:rsidRPr="00994E86">
        <w:rPr>
          <w:rFonts w:ascii="Times New Roman" w:hAnsi="Times New Roman" w:cs="Times New Roman"/>
          <w:position w:val="-36"/>
          <w:sz w:val="24"/>
          <w:szCs w:val="24"/>
        </w:rPr>
        <w:object w:dxaOrig="1600" w:dyaOrig="840" w14:anchorId="78FA1893">
          <v:shape id="_x0000_i1030" type="#_x0000_t75" style="width:80.4pt;height:42pt" o:ole="">
            <v:imagedata r:id="rId16" o:title=""/>
          </v:shape>
          <o:OLEObject Type="Embed" ProgID="Equation.DSMT4" ShapeID="_x0000_i1030" DrawAspect="Content" ObjectID="_1833893593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, на который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домножается</w:t>
      </w:r>
      <w:proofErr w:type="spellEnd"/>
      <w:r w:rsidRPr="00994E86">
        <w:rPr>
          <w:rFonts w:ascii="Times New Roman" w:hAnsi="Times New Roman" w:cs="Times New Roman"/>
        </w:rPr>
        <w:t xml:space="preserve"> </w:t>
      </w:r>
      <w:r w:rsidRPr="00994E86">
        <w:rPr>
          <w:rFonts w:ascii="Times New Roman" w:hAnsi="Times New Roman" w:cs="Times New Roman"/>
          <w:position w:val="-14"/>
        </w:rPr>
        <w:object w:dxaOrig="840" w:dyaOrig="440" w14:anchorId="0B57C6CC">
          <v:shape id="_x0000_i1031" type="#_x0000_t75" style="width:42pt;height:21.6pt" o:ole="">
            <v:imagedata r:id="rId14" o:title=""/>
          </v:shape>
          <o:OLEObject Type="Embed" ProgID="Equation.DSMT4" ShapeID="_x0000_i1031" DrawAspect="Content" ObjectID="_1833893594" r:id="rId18"/>
        </w:object>
      </w:r>
      <w:r>
        <w:rPr>
          <w:rFonts w:ascii="Times New Roman" w:hAnsi="Times New Roman" w:cs="Times New Roman"/>
        </w:rPr>
        <w:t xml:space="preserve"> в случае отличия значения от 1.</w:t>
      </w:r>
      <w:r w:rsidR="000F438B">
        <w:rPr>
          <w:rFonts w:ascii="Times New Roman" w:hAnsi="Times New Roman" w:cs="Times New Roman"/>
        </w:rPr>
        <w:t xml:space="preserve"> Схожая методика представлена в работе </w:t>
      </w:r>
      <w:r w:rsidR="000F438B" w:rsidRPr="000F438B">
        <w:rPr>
          <w:rFonts w:ascii="Times New Roman" w:hAnsi="Times New Roman" w:cs="Times New Roman"/>
        </w:rPr>
        <w:t>[1]</w:t>
      </w:r>
    </w:p>
    <w:p w14:paraId="7CC0DA82" w14:textId="55870CA5" w:rsidR="00994E1F" w:rsidRDefault="00994E86" w:rsidP="00994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Расчетные исследования проводились с использованием прецизионных программных комплексов </w:t>
      </w:r>
      <w:r>
        <w:rPr>
          <w:rFonts w:ascii="Times New Roman" w:hAnsi="Times New Roman" w:cs="Times New Roman"/>
          <w:sz w:val="24"/>
          <w:szCs w:val="24"/>
          <w:lang w:val="en-US"/>
        </w:rPr>
        <w:t>Serpent</w:t>
      </w:r>
      <w:r w:rsidRPr="00994E86">
        <w:rPr>
          <w:rFonts w:ascii="Times New Roman" w:hAnsi="Times New Roman" w:cs="Times New Roman"/>
          <w:sz w:val="24"/>
          <w:szCs w:val="24"/>
        </w:rPr>
        <w:t xml:space="preserve"> [</w:t>
      </w:r>
      <w:r w:rsidR="000F438B" w:rsidRPr="000F438B">
        <w:rPr>
          <w:rFonts w:ascii="Times New Roman" w:hAnsi="Times New Roman" w:cs="Times New Roman"/>
          <w:sz w:val="24"/>
          <w:szCs w:val="24"/>
        </w:rPr>
        <w:t>2</w:t>
      </w:r>
      <w:r w:rsidRPr="00994E86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OpenMC</w:t>
      </w:r>
      <w:proofErr w:type="spellEnd"/>
      <w:r w:rsidRPr="00994E86">
        <w:rPr>
          <w:rFonts w:ascii="Times New Roman" w:hAnsi="Times New Roman" w:cs="Times New Roman"/>
          <w:sz w:val="24"/>
          <w:szCs w:val="24"/>
        </w:rPr>
        <w:t xml:space="preserve"> [</w:t>
      </w:r>
      <w:r w:rsidR="000F438B" w:rsidRPr="000F438B">
        <w:rPr>
          <w:rFonts w:ascii="Times New Roman" w:hAnsi="Times New Roman" w:cs="Times New Roman"/>
          <w:sz w:val="24"/>
          <w:szCs w:val="24"/>
        </w:rPr>
        <w:t>3</w:t>
      </w:r>
      <w:r w:rsidRPr="00994E86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 xml:space="preserve">В качестве модели задавалась ячейка реактора ВВЭР-1200, характерные параметры, которые приведены в </w:t>
      </w:r>
      <w:r w:rsidRPr="00994E86">
        <w:rPr>
          <w:rFonts w:ascii="Times New Roman" w:hAnsi="Times New Roman" w:cs="Times New Roman"/>
          <w:sz w:val="24"/>
          <w:szCs w:val="24"/>
        </w:rPr>
        <w:t>[</w:t>
      </w:r>
      <w:r w:rsidR="000F438B" w:rsidRPr="000F438B">
        <w:rPr>
          <w:rFonts w:ascii="Times New Roman" w:hAnsi="Times New Roman" w:cs="Times New Roman"/>
          <w:sz w:val="24"/>
          <w:szCs w:val="24"/>
        </w:rPr>
        <w:t>4</w:t>
      </w:r>
      <w:r w:rsidRPr="00994E86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>В качестве стартового варианта профилирование предлагается использования 5 зон разной высоты. Результаты представлены на Рис.1.</w:t>
      </w:r>
    </w:p>
    <w:p w14:paraId="51C8DE97" w14:textId="7FB97596" w:rsid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5E753FC" wp14:editId="55743499">
            <wp:extent cx="3895725" cy="2487864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1"/>
                    <a:stretch/>
                  </pic:blipFill>
                  <pic:spPr bwMode="auto">
                    <a:xfrm>
                      <a:off x="0" y="0"/>
                      <a:ext cx="3907658" cy="249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306CA" w14:textId="24DE09D6" w:rsid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 1.</w:t>
      </w:r>
      <w:r w:rsidRPr="00994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Распределение плотности потока нейтронов для различных концепций профилирования обогащения ядерного топлива</w:t>
      </w:r>
    </w:p>
    <w:p w14:paraId="37B5DF51" w14:textId="77777777" w:rsid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39825" w14:textId="4DA0F1DA" w:rsidR="00994E86" w:rsidRDefault="00994E86" w:rsidP="00994E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Профилирование осуществлялось с соотношением объемных зон </w:t>
      </w:r>
      <w:proofErr w:type="gramStart"/>
      <w:r>
        <w:rPr>
          <w:rFonts w:ascii="Times New Roman" w:hAnsi="Times New Roman" w:cs="Times New Roman"/>
          <w:sz w:val="24"/>
          <w:szCs w:val="24"/>
        </w:rPr>
        <w:t>1:2:4:2:1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1:1:2:1:1. Как видно из результатов меньший всплеск наблюдается для варианта с малыми периферийными зонами. Это логично, поскольку градиент потока нейтронов существенный только на торцах в диапазоне 0-20% от всей высоты активной зоны. Сомнительным результатом расчета является существенный перекос плотности потока нейтронов (отличие между пиками в 3 раза). Учитывая, что доли делящихся нуклидов симметричны (на торцах обогащения одинаковые) относительно центра, температуры идентичны, единственным отличием является наличие газосборника выше активной зоны. С точки зрения снижения профиля нейтронного поля в перспективе предлагается использовать критерий остановки итерационной схемы для достижения формы, близкой к «плато». </w:t>
      </w:r>
    </w:p>
    <w:p w14:paraId="0A1FE54C" w14:textId="47AE3CE3" w:rsidR="00994E86" w:rsidRPr="00994E86" w:rsidRDefault="00994E86" w:rsidP="00994E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8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C23FB6B" w14:textId="698B794C" w:rsidR="00994E86" w:rsidRDefault="000F438B" w:rsidP="00994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B">
        <w:rPr>
          <w:rFonts w:ascii="Times New Roman" w:hAnsi="Times New Roman" w:cs="Times New Roman"/>
          <w:sz w:val="24"/>
          <w:szCs w:val="24"/>
        </w:rPr>
        <w:t xml:space="preserve">Гердт Э.А., Внуков Р.А. </w:t>
      </w:r>
      <w:r w:rsidR="003E69BC" w:rsidRPr="000F438B">
        <w:rPr>
          <w:rFonts w:ascii="Times New Roman" w:hAnsi="Times New Roman" w:cs="Times New Roman"/>
          <w:sz w:val="24"/>
          <w:szCs w:val="24"/>
        </w:rPr>
        <w:t>Сравнительный анализ методов аксиального профилирования ТВС реактора ВВЭР-1200 на примере модели Z49A2</w:t>
      </w:r>
      <w:r w:rsidRPr="000F438B">
        <w:rPr>
          <w:rFonts w:ascii="Times New Roman" w:hAnsi="Times New Roman" w:cs="Times New Roman"/>
          <w:sz w:val="24"/>
          <w:szCs w:val="24"/>
        </w:rPr>
        <w:t>. Глобальная ядерная безопасность. 2022;(3):65-72. https://doi.org/10.26583/gns-2022-03-06</w:t>
      </w:r>
      <w:r w:rsidR="003E69BC">
        <w:rPr>
          <w:rFonts w:ascii="Times New Roman" w:hAnsi="Times New Roman" w:cs="Times New Roman"/>
          <w:sz w:val="24"/>
          <w:szCs w:val="24"/>
        </w:rPr>
        <w:t>.</w:t>
      </w:r>
    </w:p>
    <w:p w14:paraId="152D6530" w14:textId="77777777" w:rsidR="000F438B" w:rsidRPr="000F438B" w:rsidRDefault="000F438B" w:rsidP="000F43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Leppänen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Pusa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Viitanen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Valtavirta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, V. and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Kaltiaisenaho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, T. “The Serpent Monte Carlo code: Status, development and applications in 2013.” Ann.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Nucl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>. Energy, 82 (2015) 142-150.</w:t>
      </w:r>
    </w:p>
    <w:p w14:paraId="3D3E3CA2" w14:textId="08A39620" w:rsidR="00994E86" w:rsidRPr="000F438B" w:rsidRDefault="000F438B" w:rsidP="00994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Paul K. Romano, Nicholas E.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Horelik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, Bryan R. Herman, Adam G. Nelson, Benoit Forget, and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Kord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 Smith, “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OpenMC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 xml:space="preserve">: A State-of-the-Art Monte Carlo Code for Research and Development,” Ann. </w:t>
      </w:r>
      <w:proofErr w:type="spellStart"/>
      <w:r w:rsidRPr="000F438B">
        <w:rPr>
          <w:rFonts w:ascii="Times New Roman" w:hAnsi="Times New Roman" w:cs="Times New Roman"/>
          <w:sz w:val="24"/>
          <w:szCs w:val="24"/>
          <w:lang w:val="en-US"/>
        </w:rPr>
        <w:t>Nucl</w:t>
      </w:r>
      <w:proofErr w:type="spellEnd"/>
      <w:r w:rsidRPr="000F438B">
        <w:rPr>
          <w:rFonts w:ascii="Times New Roman" w:hAnsi="Times New Roman" w:cs="Times New Roman"/>
          <w:sz w:val="24"/>
          <w:szCs w:val="24"/>
          <w:lang w:val="en-US"/>
        </w:rPr>
        <w:t>. Energy, 82, 90–97 (2015).</w:t>
      </w:r>
    </w:p>
    <w:p w14:paraId="59626A85" w14:textId="26B9397E" w:rsidR="000F438B" w:rsidRPr="00F074EA" w:rsidRDefault="00F074EA" w:rsidP="00994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EA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Сондос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М.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074EA">
        <w:rPr>
          <w:rFonts w:ascii="Times New Roman" w:hAnsi="Times New Roman" w:cs="Times New Roman"/>
          <w:sz w:val="24"/>
          <w:szCs w:val="24"/>
        </w:rPr>
        <w:t xml:space="preserve">., Демин В.М., </w:t>
      </w:r>
      <w:proofErr w:type="spellStart"/>
      <w:r w:rsidRPr="00F074EA">
        <w:rPr>
          <w:rFonts w:ascii="Times New Roman" w:hAnsi="Times New Roman" w:cs="Times New Roman"/>
          <w:sz w:val="24"/>
          <w:szCs w:val="24"/>
        </w:rPr>
        <w:t>Савандер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 xml:space="preserve"> В.И. Оценка возможности использования 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Pr="00F074EA">
        <w:rPr>
          <w:rFonts w:ascii="Times New Roman" w:hAnsi="Times New Roman" w:cs="Times New Roman"/>
          <w:sz w:val="24"/>
          <w:szCs w:val="24"/>
        </w:rPr>
        <w:t xml:space="preserve">2 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74EA">
        <w:rPr>
          <w:rFonts w:ascii="Times New Roman" w:hAnsi="Times New Roman" w:cs="Times New Roman"/>
          <w:sz w:val="24"/>
          <w:szCs w:val="24"/>
        </w:rPr>
        <w:t xml:space="preserve">3 в качестве выгорающего поглотителя в реакторе ВВЭР-1200 // Глобальная ядерная безопасность. – 2019. – 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F074EA">
        <w:rPr>
          <w:rFonts w:ascii="Times New Roman" w:hAnsi="Times New Roman" w:cs="Times New Roman"/>
          <w:sz w:val="24"/>
          <w:szCs w:val="24"/>
        </w:rPr>
        <w:t xml:space="preserve"> 1(30). – С. 39-46. 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F074EA">
        <w:rPr>
          <w:rFonts w:ascii="Times New Roman" w:hAnsi="Times New Roman" w:cs="Times New Roman"/>
          <w:sz w:val="24"/>
          <w:szCs w:val="24"/>
        </w:rPr>
        <w:t xml:space="preserve">: 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074EA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074EA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>.</w:t>
      </w:r>
      <w:r w:rsidRPr="00F074E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F074EA">
        <w:rPr>
          <w:rFonts w:ascii="Times New Roman" w:hAnsi="Times New Roman" w:cs="Times New Roman"/>
          <w:sz w:val="24"/>
          <w:szCs w:val="24"/>
        </w:rPr>
        <w:t>/10.26583/</w:t>
      </w:r>
      <w:proofErr w:type="spellStart"/>
      <w:r w:rsidRPr="00F074EA">
        <w:rPr>
          <w:rFonts w:ascii="Times New Roman" w:hAnsi="Times New Roman" w:cs="Times New Roman"/>
          <w:sz w:val="24"/>
          <w:szCs w:val="24"/>
          <w:lang w:val="en-US"/>
        </w:rPr>
        <w:t>gns</w:t>
      </w:r>
      <w:proofErr w:type="spellEnd"/>
      <w:r w:rsidRPr="00F074EA">
        <w:rPr>
          <w:rFonts w:ascii="Times New Roman" w:hAnsi="Times New Roman" w:cs="Times New Roman"/>
          <w:sz w:val="24"/>
          <w:szCs w:val="24"/>
        </w:rPr>
        <w:t>-2019-01-04</w:t>
      </w:r>
      <w:r w:rsidR="003E69BC">
        <w:rPr>
          <w:rFonts w:ascii="Times New Roman" w:hAnsi="Times New Roman" w:cs="Times New Roman"/>
          <w:sz w:val="24"/>
          <w:szCs w:val="24"/>
        </w:rPr>
        <w:t>.</w:t>
      </w:r>
    </w:p>
    <w:sectPr w:rsidR="000F438B" w:rsidRPr="00F074EA" w:rsidSect="00994E8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463"/>
    <w:multiLevelType w:val="hybridMultilevel"/>
    <w:tmpl w:val="300CA5A6"/>
    <w:lvl w:ilvl="0" w:tplc="2236C29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E7"/>
    <w:rsid w:val="000F438B"/>
    <w:rsid w:val="002D1553"/>
    <w:rsid w:val="00374D7C"/>
    <w:rsid w:val="003E69BC"/>
    <w:rsid w:val="00804DE7"/>
    <w:rsid w:val="00957888"/>
    <w:rsid w:val="00994E1F"/>
    <w:rsid w:val="00994E86"/>
    <w:rsid w:val="00F0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8EA5"/>
  <w15:chartTrackingRefBased/>
  <w15:docId w15:val="{19590C36-A0DF-41BB-8A91-CF670439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4E8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9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a.belyaeff111@gmail.com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Belyaev</dc:creator>
  <cp:keywords/>
  <dc:description/>
  <cp:lastModifiedBy>Alexander Belyaev</cp:lastModifiedBy>
  <cp:revision>2</cp:revision>
  <dcterms:created xsi:type="dcterms:W3CDTF">2026-03-01T15:07:00Z</dcterms:created>
  <dcterms:modified xsi:type="dcterms:W3CDTF">2026-03-01T15:07:00Z</dcterms:modified>
</cp:coreProperties>
</file>