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:rsidR="00E11B77" w:rsidRDefault="00057C8F" w14:paraId="3C720B2B" wp14:textId="77777777">
      <w:pPr>
        <w:tabs>
          <w:tab w:val="left" w:pos="364"/>
        </w:tabs>
        <w:spacing w:before="0" w:after="0" w:line="240" w:lineRule="auto"/>
        <w:ind w:firstLine="0"/>
        <w:jc w:val="center"/>
        <w:rPr>
          <w:b/>
          <w:bCs/>
          <w:color w:val="000000"/>
          <w:shd w:val="clear" w:color="auto" w:fill="FFFFFF"/>
        </w:rPr>
      </w:pPr>
      <w:bookmarkStart w:name="_GoBack" w:id="0"/>
      <w:bookmarkEnd w:id="0"/>
      <w:r>
        <w:rPr>
          <w:rFonts w:ascii="Times New Roman" w:hAnsi="Times New Roman" w:eastAsia="Times New Roman" w:cs="Times New Roman"/>
          <w:b/>
          <w:bCs/>
          <w:i w:val="0"/>
          <w:color w:val="000000"/>
          <w:sz w:val="24"/>
          <w:shd w:val="clear" w:color="auto" w:fill="FFFFFF"/>
        </w:rPr>
        <w:t>О планарных возмущениях в кеплеровских вертикально</w:t>
      </w:r>
    </w:p>
    <w:p xmlns:wp14="http://schemas.microsoft.com/office/word/2010/wordml" w:rsidR="00E11B77" w:rsidRDefault="00057C8F" w14:paraId="79D8D4F9" wp14:textId="77777777">
      <w:pPr>
        <w:tabs>
          <w:tab w:val="left" w:pos="364"/>
        </w:tabs>
        <w:spacing w:before="0" w:after="0" w:line="240" w:lineRule="auto"/>
        <w:ind w:firstLine="0"/>
        <w:jc w:val="center"/>
        <w:rPr>
          <w:b/>
          <w:bCs/>
          <w:color w:val="000000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i w:val="0"/>
          <w:color w:val="000000"/>
          <w:sz w:val="24"/>
          <w:shd w:val="clear" w:color="auto" w:fill="FFFFFF"/>
        </w:rPr>
        <w:t>стратифицированных дисках в однородном магнитном поле</w:t>
      </w:r>
    </w:p>
    <w:p xmlns:wp14="http://schemas.microsoft.com/office/word/2010/wordml" w:rsidR="00E11B77" w:rsidP="7832D8E8" w:rsidRDefault="00057C8F" w14:paraId="12FA8A29" wp14:textId="263004CE">
      <w:pPr>
        <w:spacing w:before="0" w:beforeAutospacing="off" w:after="0" w:afterAutospacing="off" w:line="240" w:lineRule="auto"/>
        <w:ind w:firstLine="432"/>
        <w:jc w:val="center"/>
      </w:pPr>
      <w:r w:rsidRPr="7832D8E8" w:rsidR="00057C8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Парусов К.Ю.</w:t>
      </w:r>
      <w:r w:rsidRPr="7832D8E8" w:rsidR="1B0A84F3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 xml:space="preserve"> 1</w:t>
      </w:r>
    </w:p>
    <w:p xmlns:wp14="http://schemas.microsoft.com/office/word/2010/wordml" w:rsidR="00E11B77" w:rsidP="7832D8E8" w:rsidRDefault="00057C8F" w14:paraId="2AFB2DDE" wp14:textId="199B705A">
      <w:pPr>
        <w:spacing w:before="0" w:beforeAutospacing="off" w:after="0" w:afterAutospacing="off" w:line="240" w:lineRule="auto"/>
        <w:ind w:firstLine="432"/>
        <w:jc w:val="center"/>
      </w:pPr>
      <w:r w:rsidRPr="7832D8E8" w:rsidR="1B0A84F3">
        <w:rPr>
          <w:rFonts w:ascii="Times New Roman" w:hAnsi="Times New Roman" w:eastAsia="Times New Roman" w:cs="Times New Roman"/>
          <w:i w:val="0"/>
          <w:iCs w:val="0"/>
          <w:noProof w:val="0"/>
          <w:color w:val="000000" w:themeColor="text1" w:themeTint="FF" w:themeShade="FF"/>
          <w:sz w:val="24"/>
          <w:szCs w:val="24"/>
          <w:vertAlign w:val="superscript"/>
          <w:lang w:val="ru-RU"/>
        </w:rPr>
        <w:t>1</w:t>
      </w:r>
      <w:r w:rsidRPr="7832D8E8" w:rsidR="1B0A84F3">
        <w:rPr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ru-RU"/>
        </w:rPr>
        <w:t>студент</w:t>
      </w:r>
    </w:p>
    <w:p xmlns:wp14="http://schemas.microsoft.com/office/word/2010/wordml" w:rsidR="00E11B77" w:rsidRDefault="00057C8F" w14:paraId="227FD98A" wp14:textId="77777777"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 w:cs="Times New Roman"/>
          <w:b w:val="0"/>
          <w:i/>
          <w:sz w:val="24"/>
        </w:rPr>
        <w:t>Московский государственный университет имени М.В.Ломоносова, физический факультет, Москва, Россия</w:t>
      </w:r>
    </w:p>
    <w:p xmlns:wp14="http://schemas.microsoft.com/office/word/2010/wordml" w14:paraId="5D714658" wp14:textId="77777777"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Times New Roman" w:cs="Times New Roman"/>
          <w:b w:val="0"/>
          <w:i/>
          <w:sz w:val="24"/>
        </w:rPr>
        <w:t>E–mail: parusovky@my.msu.ru</w:t>
      </w:r>
    </w:p>
    <w:p xmlns:wp14="http://schemas.microsoft.com/office/word/2010/wordml" w:rsidR="00E11B77" w:rsidRDefault="00E11B77" w14:paraId="672A6659" wp14:textId="77777777">
      <w:pPr>
        <w:spacing w:before="0" w:after="0" w:line="240" w:lineRule="auto"/>
        <w:ind w:firstLine="0"/>
        <w:jc w:val="left"/>
      </w:pPr>
    </w:p>
    <w:p xmlns:wp14="http://schemas.microsoft.com/office/word/2010/wordml" w:rsidR="00E11B77" w:rsidRDefault="00057C8F" w14:paraId="2BAF1DCA" wp14:textId="77777777">
      <w:pPr>
        <w:spacing w:before="0" w:after="0" w:line="240" w:lineRule="auto"/>
        <w:ind w:firstLine="397"/>
        <w:jc w:val="both"/>
      </w:pPr>
      <w:r>
        <w:rPr>
          <w:rFonts w:ascii="Times New Roman" w:hAnsi="Times New Roman" w:eastAsia="Times New Roman" w:cs="Times New Roman"/>
          <w:sz w:val="24"/>
        </w:rPr>
        <w:t>Радиальное движение газа в аккреционных дисках, окружающих центральный тяготеющий центр как в двойных системах (в частности, вокруг компактных остатков звездной эволюции -- белых карликов,  нейтронных звёзд чёрных дыр), а также в протопланетных дисках и дисках вокруг сверхмассивных черных дыр в ядрах галактик, обусловлено обменом вращательного момента между слоями, находящимися на различных расстояниях от гравитирующего центра [4].</w:t>
      </w:r>
    </w:p>
    <w:p xmlns:wp14="http://schemas.microsoft.com/office/word/2010/wordml" w:rsidR="00E11B77" w:rsidP="7832D8E8" w:rsidRDefault="00057C8F" w14:paraId="3313E7AD" wp14:textId="5716B710">
      <w:pPr>
        <w:spacing w:before="0" w:after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832D8E8" w:rsidR="00057C8F">
        <w:rPr>
          <w:rFonts w:ascii="Times New Roman" w:hAnsi="Times New Roman" w:eastAsia="Times New Roman" w:cs="Times New Roman"/>
          <w:sz w:val="24"/>
          <w:szCs w:val="24"/>
        </w:rPr>
        <w:t xml:space="preserve">Первые попытки расчёта газодинамики аккреции в дифференциально вращающихся дисках были предприняты в 40-х годах XX века и натолкнулись на проблему неизвестного на тот момент механизма переноса момента вращения наружу аккреционного диска, так как, в соответствии с гидродинамическим критерием устойчивости Рэлея [3], </w:t>
      </w:r>
      <w:r w:rsidRPr="7832D8E8" w:rsidR="00057C8F">
        <w:rPr>
          <w:rFonts w:ascii="Times New Roman" w:hAnsi="Times New Roman" w:eastAsia="Times New Roman" w:cs="Times New Roman"/>
          <w:sz w:val="24"/>
          <w:szCs w:val="24"/>
        </w:rPr>
        <w:t>кеплеровское</w:t>
      </w:r>
      <w:r w:rsidRPr="7832D8E8" w:rsidR="00057C8F">
        <w:rPr>
          <w:rFonts w:ascii="Times New Roman" w:hAnsi="Times New Roman" w:eastAsia="Times New Roman" w:cs="Times New Roman"/>
          <w:sz w:val="24"/>
          <w:szCs w:val="24"/>
        </w:rPr>
        <w:t xml:space="preserve"> движение вещества по орбите с угловой </w:t>
      </w:r>
      <w:r w:rsidRPr="7832D8E8" w:rsidR="00057C8F">
        <w:rPr>
          <w:rFonts w:ascii="Times New Roman" w:hAnsi="Times New Roman" w:eastAsia="Times New Roman" w:cs="Times New Roman"/>
          <w:sz w:val="24"/>
          <w:szCs w:val="24"/>
        </w:rPr>
        <w:t xml:space="preserve">скоростью </w:t>
      </w:r>
      <w:r w:rsidRPr="7832D8E8" w:rsidR="6417D47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rPr xmlns:m="http://schemas.openxmlformats.org/officeDocument/2006/math">
              <m:sty m:val="p"/>
            </m:rPr>
            <m:t xmlns:m="http://schemas.openxmlformats.org/officeDocument/2006/math">Ω</m:t>
          </m:r>
          <m:r xmlns:m="http://schemas.openxmlformats.org/officeDocument/2006/math">
            <m:t xmlns:m="http://schemas.openxmlformats.org/officeDocument/2006/math">∼</m:t>
          </m:r>
          <m:f xmlns:m="http://schemas.openxmlformats.org/officeDocument/2006/math">
            <m:fPr>
              <m:ctrlPr/>
            </m:fPr>
            <m:num>
              <m:r>
                <m:t>1</m:t>
              </m:r>
            </m:num>
            <m:den>
              <m:sSup>
                <m:sSupPr>
                  <m:ctrlPr/>
                </m:sSupPr>
                <m:e>
                  <m:r>
                    <m:t>𝑟</m:t>
                  </m:r>
                </m:e>
                <m:sup>
                  <m:r>
                    <m:t>3</m:t>
                  </m:r>
                </m:sup>
              </m:sSup>
            </m:den>
          </m:f>
        </m:oMath>
      </m:oMathPara>
      <w:r w:rsidRPr="7832D8E8" w:rsidR="00057C8F">
        <w:rPr>
          <w:rFonts w:ascii="Times New Roman" w:hAnsi="Times New Roman" w:eastAsia="Times New Roman" w:cs="Times New Roman"/>
          <w:sz w:val="24"/>
          <w:szCs w:val="24"/>
        </w:rPr>
        <w:t xml:space="preserve"> должно</w:t>
      </w:r>
      <w:r w:rsidRPr="7832D8E8" w:rsidR="00057C8F">
        <w:rPr>
          <w:rFonts w:ascii="Times New Roman" w:hAnsi="Times New Roman" w:eastAsia="Times New Roman" w:cs="Times New Roman"/>
          <w:sz w:val="24"/>
          <w:szCs w:val="24"/>
        </w:rPr>
        <w:t xml:space="preserve"> быть ламинарным.</w:t>
      </w:r>
    </w:p>
    <w:p xmlns:wp14="http://schemas.microsoft.com/office/word/2010/wordml" w:rsidR="00E11B77" w:rsidRDefault="00057C8F" w14:paraId="3D907DE4" wp14:textId="77777777">
      <w:pPr>
        <w:spacing w:before="0" w:after="0" w:line="240" w:lineRule="auto"/>
        <w:ind w:firstLine="397"/>
        <w:jc w:val="both"/>
      </w:pPr>
      <w:r>
        <w:rPr>
          <w:rFonts w:ascii="Times New Roman" w:hAnsi="Times New Roman" w:eastAsia="Times New Roman" w:cs="Times New Roman"/>
          <w:sz w:val="24"/>
        </w:rPr>
        <w:t>Феномен магниторотационной неустойчивости (МРН) был впервые открыт в работах по исследованию устойчивости дифференциального вращательного движения проводящей жидкости в вертикально пронизывающем её магнитном поле Е. П. Велиховым [5] и С. Чандрасекаром [2]. МРН является привлекательным механизмом возбуждения турбулентности, заключающийся в появлении вращательного момента, вызванного сопротивлением квазиупругой силы Лоренца в сдвиговом течении плазмы, под действием которого вращательный момент передаётся от внутренних слоёв жидкостной структуры к внешним.</w:t>
      </w:r>
    </w:p>
    <w:p xmlns:wp14="http://schemas.microsoft.com/office/word/2010/wordml" w:rsidR="00E11B77" w:rsidRDefault="00057C8F" w14:paraId="0D4AF316" wp14:textId="77777777">
      <w:pPr>
        <w:spacing w:before="0" w:after="0" w:line="240" w:lineRule="auto"/>
        <w:ind w:firstLine="397"/>
        <w:jc w:val="both"/>
      </w:pPr>
      <w:r>
        <w:rPr>
          <w:rFonts w:ascii="Times New Roman" w:hAnsi="Times New Roman" w:eastAsia="Times New Roman" w:cs="Times New Roman"/>
          <w:sz w:val="24"/>
        </w:rPr>
        <w:t>Существует два подхода к проведению модального анализа МРН: локальный и нелокальный. При локальном анализе возмущения записываются в виде гармонических функций от времени и координат, при этом границы течения не влияют на анализ. В нелокальном анализе форма возмущений по времени остаётся гармонической, а зависимость возмущений от координаты ищется как решение соответствующей краевой задачи. Нелокальное рассмотрение МРН по радиусу, проведенное, например, в работе [1], позволило получить значения критического магнитного поля, подавляющего МРН.</w:t>
      </w:r>
    </w:p>
    <w:p xmlns:wp14="http://schemas.microsoft.com/office/word/2010/wordml" w:rsidR="00E11B77" w:rsidRDefault="00057C8F" w14:paraId="54AA88AA" wp14:textId="77777777">
      <w:pPr>
        <w:spacing w:before="0" w:after="0" w:line="240" w:lineRule="auto"/>
        <w:ind w:firstLine="397"/>
        <w:jc w:val="both"/>
      </w:pPr>
      <w:r>
        <w:rPr>
          <w:rFonts w:ascii="Times New Roman" w:hAnsi="Times New Roman" w:eastAsia="Times New Roman" w:cs="Times New Roman"/>
          <w:iCs/>
          <w:sz w:val="24"/>
        </w:rPr>
        <w:t xml:space="preserve">В настоящей работе проводится локальный анализ аккреционных течений в вертикальном однородном магнитном поле с учётом вертикальной стратификации диска в приближении равенства нулю радиальной производной для всех </w:t>
      </w:r>
      <w:r>
        <w:rPr>
          <w:rFonts w:ascii="Times New Roman" w:hAnsi="Times New Roman" w:eastAsia="Times New Roman" w:cs="Times New Roman"/>
          <w:iCs/>
          <w:sz w:val="24"/>
        </w:rPr>
        <w:t>возмущений. Для аналитического решения задачи рассматриваются адиабатические планарные возмущения в несжимаемой жидкости в конвективно-устойчивом течении.</w:t>
      </w:r>
    </w:p>
    <w:p xmlns:wp14="http://schemas.microsoft.com/office/word/2010/wordml" w:rsidR="00E11B77" w:rsidRDefault="00057C8F" w14:paraId="5E829127" wp14:textId="77777777">
      <w:pPr>
        <w:spacing w:before="0" w:after="0" w:line="240" w:lineRule="auto"/>
        <w:ind w:firstLine="0"/>
        <w:jc w:val="left"/>
      </w:pPr>
      <w:r>
        <w:rPr>
          <w:rFonts w:ascii="Times New Roman" w:hAnsi="Times New Roman" w:eastAsia="Times New Roman" w:cs="Times New Roman"/>
          <w:noProof/>
          <w:sz w:val="24"/>
          <w:lang w:val="en-US" w:eastAsia="en-US" w:bidi="ar-S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CB814A5" wp14:editId="7777777">
                <wp:simplePos x="0" y="0"/>
                <wp:positionH relativeFrom="column">
                  <wp:posOffset>137891</wp:posOffset>
                </wp:positionH>
                <wp:positionV relativeFrom="paragraph">
                  <wp:posOffset>3956060</wp:posOffset>
                </wp:positionV>
                <wp:extent cx="5982096" cy="1019556"/>
                <wp:effectExtent l="0" t="0" r="18654" b="9144"/>
                <wp:wrapNone/>
                <wp:docPr id="1" name="Text 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096" cy="1019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="00E11B77" w:rsidRDefault="00057C8F" w14:paraId="299E7294" wp14:textId="77777777">
                            <w:pPr>
                              <w:ind w:left="709" w:hanging="283"/>
                              <w:jc w:val="both"/>
                              <w:rPr>
                                <w:rFonts w:ascii="F" w:hAnsi="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" w:hAnsi="F"/>
                                <w:b/>
                                <w:sz w:val="22"/>
                                <w:szCs w:val="22"/>
                              </w:rPr>
                              <w:t>Рис. 1.</w:t>
                            </w:r>
                            <w:r>
                              <w:rPr>
                                <w:rFonts w:ascii="F" w:hAnsi="F"/>
                                <w:sz w:val="22"/>
                                <w:szCs w:val="22"/>
                              </w:rPr>
                              <w:t xml:space="preserve"> Графики дисперсионных соотношений для различных величин фоновых магнитных полей, полученных в рамках работы. Заштрихованные области отрицательных значений функции соответствуют диапазону волновых чисел, приводящих к экспоненциальному росту возмущений.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8D5FE7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Frame 1" style="position:absolute;left:0;text-align:left;margin-left:10.85pt;margin-top:311.5pt;width:471.05pt;height:80.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">
                <v:textbox inset="0,0,0,0">
                  <w:txbxContent>
                    <w:p w:rsidR="00E11B77" w:rsidRDefault="00057C8F" w14:paraId="4973A0E2" wp14:textId="77777777">
                      <w:pPr>
                        <w:ind w:left="709" w:hanging="283"/>
                        <w:jc w:val="both"/>
                        <w:rPr>
                          <w:rFonts w:ascii="F" w:hAnsi="F"/>
                          <w:sz w:val="22"/>
                          <w:szCs w:val="22"/>
                        </w:rPr>
                      </w:pPr>
                      <w:r>
                        <w:rPr>
                          <w:rFonts w:ascii="F" w:hAnsi="F"/>
                          <w:b/>
                          <w:sz w:val="22"/>
                          <w:szCs w:val="22"/>
                        </w:rPr>
                        <w:t>Рис. 1.</w:t>
                      </w:r>
                      <w:r>
                        <w:rPr>
                          <w:rFonts w:ascii="F" w:hAnsi="F"/>
                          <w:sz w:val="22"/>
                          <w:szCs w:val="22"/>
                        </w:rPr>
                        <w:t xml:space="preserve"> Графики дисперсионных соотношений для различных величин фоновых магнитных полей, полученных в рамках работы. Заштрихованные области отрицательных значений функции соответствуют диапазону волновых чисел, приводящих к экспоненциальному росту возмущений.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noProof/>
          <w:sz w:val="24"/>
          <w:lang w:val="en-US" w:eastAsia="en-US" w:bidi="ar-SA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17CA4810" wp14:editId="7777777">
            <wp:simplePos x="0" y="0"/>
            <wp:positionH relativeFrom="column">
              <wp:posOffset>0</wp:posOffset>
            </wp:positionH>
            <wp:positionV relativeFrom="paragraph">
              <wp:posOffset>39959</wp:posOffset>
            </wp:positionV>
            <wp:extent cx="6119987" cy="3916832"/>
            <wp:effectExtent l="0" t="0" r="0" b="7468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87" cy="3916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:rsidR="00E11B77" w:rsidRDefault="00E11B77" w14:paraId="0A37501D" wp14:textId="77777777">
      <w:pPr>
        <w:spacing w:before="0" w:after="0" w:line="240" w:lineRule="auto"/>
        <w:ind w:firstLine="0"/>
        <w:jc w:val="left"/>
      </w:pPr>
    </w:p>
    <w:p xmlns:wp14="http://schemas.microsoft.com/office/word/2010/wordml" w:rsidR="00E11B77" w:rsidRDefault="00E11B77" w14:paraId="5DAB6C7B" wp14:textId="77777777">
      <w:pPr>
        <w:spacing w:before="0" w:after="0" w:line="240" w:lineRule="auto"/>
        <w:ind w:firstLine="0"/>
        <w:jc w:val="left"/>
      </w:pPr>
    </w:p>
    <w:p xmlns:wp14="http://schemas.microsoft.com/office/word/2010/wordml" w:rsidR="00E11B77" w:rsidRDefault="00E11B77" w14:paraId="02EB378F" wp14:textId="77777777">
      <w:pPr>
        <w:spacing w:before="0" w:after="0" w:line="240" w:lineRule="auto"/>
        <w:ind w:firstLine="0"/>
        <w:jc w:val="left"/>
      </w:pPr>
    </w:p>
    <w:p xmlns:wp14="http://schemas.microsoft.com/office/word/2010/wordml" w:rsidR="00E11B77" w:rsidRDefault="00E11B77" w14:paraId="6A05A809" wp14:textId="77777777">
      <w:pPr>
        <w:spacing w:before="0" w:after="0" w:line="240" w:lineRule="auto"/>
        <w:ind w:firstLine="0"/>
        <w:jc w:val="left"/>
      </w:pPr>
    </w:p>
    <w:p xmlns:wp14="http://schemas.microsoft.com/office/word/2010/wordml" w:rsidR="00E11B77" w:rsidRDefault="00E11B77" w14:paraId="5A39BBE3" wp14:textId="77777777">
      <w:pPr>
        <w:spacing w:before="0" w:after="0" w:line="240" w:lineRule="auto"/>
        <w:ind w:firstLine="0"/>
        <w:jc w:val="left"/>
      </w:pPr>
    </w:p>
    <w:p xmlns:wp14="http://schemas.microsoft.com/office/word/2010/wordml" w:rsidR="00E11B77" w:rsidRDefault="00E11B77" w14:paraId="41C8F396" wp14:textId="77777777">
      <w:pPr>
        <w:spacing w:before="0" w:after="0" w:line="240" w:lineRule="auto"/>
        <w:ind w:firstLine="0"/>
        <w:jc w:val="left"/>
      </w:pPr>
    </w:p>
    <w:p xmlns:wp14="http://schemas.microsoft.com/office/word/2010/wordml" w:rsidR="00E11B77" w:rsidRDefault="00057C8F" w14:paraId="68D8B808" wp14:textId="77777777">
      <w:pPr>
        <w:spacing w:before="0" w:after="0" w:line="240" w:lineRule="auto"/>
        <w:ind w:firstLine="397"/>
        <w:jc w:val="both"/>
      </w:pPr>
      <w:r>
        <w:rPr>
          <w:rFonts w:ascii="Times New Roman" w:hAnsi="Times New Roman" w:eastAsia="Times New Roman" w:cs="Times New Roman"/>
          <w:sz w:val="24"/>
        </w:rPr>
        <w:t>Авторы благодарят за поддержку грант РНФ №25-12-00012.</w:t>
      </w:r>
    </w:p>
    <w:p xmlns:wp14="http://schemas.microsoft.com/office/word/2010/wordml" w:rsidR="00E11B77" w:rsidRDefault="00E11B77" w14:paraId="72A3D3EC" wp14:textId="77777777">
      <w:pPr>
        <w:spacing w:before="0" w:after="0" w:line="240" w:lineRule="auto"/>
        <w:ind w:firstLine="0"/>
        <w:jc w:val="left"/>
        <w:rPr>
          <w:b/>
        </w:rPr>
      </w:pPr>
    </w:p>
    <w:p xmlns:wp14="http://schemas.microsoft.com/office/word/2010/wordml" w:rsidR="00E11B77" w:rsidRDefault="00057C8F" w14:paraId="2BC58C05" wp14:textId="77777777">
      <w:pPr>
        <w:spacing w:before="0" w:after="0" w:line="240" w:lineRule="auto"/>
        <w:ind w:firstLine="0"/>
        <w:jc w:val="left"/>
        <w:rPr>
          <w:b/>
          <w:color w:val="000000"/>
          <w:shd w:val="clear" w:color="auto" w:fill="FFFFFF"/>
        </w:rPr>
      </w:pP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  <w:shd w:val="clear" w:color="auto" w:fill="FFFFFF"/>
        </w:rPr>
        <w:t>Литература</w:t>
      </w:r>
    </w:p>
    <w:p xmlns:wp14="http://schemas.microsoft.com/office/word/2010/wordml" w:rsidR="00E11B77" w:rsidRDefault="00057C8F" w14:paraId="100C2FED" wp14:textId="77777777">
      <w:pPr>
        <w:numPr>
          <w:ilvl w:val="0"/>
          <w:numId w:val="2"/>
        </w:numPr>
        <w:spacing w:before="0" w:after="0" w:line="240" w:lineRule="auto"/>
        <w:ind w:left="709" w:firstLine="0"/>
        <w:jc w:val="left"/>
        <w:rPr>
          <w:i/>
          <w:szCs w:val="20"/>
          <w:lang w:val="en-US"/>
        </w:rPr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1. Шакура Н. И., Постнов К. А., Колесников Д. А., Липуснова Г. В. Магниторотационная неустойчивость в кеплеровских дисках: нелокальный подход // Успехи физических наук. 193, № 12, 1340-1355 (2023).</w:t>
      </w:r>
    </w:p>
    <w:p xmlns:wp14="http://schemas.microsoft.com/office/word/2010/wordml" w:rsidR="00E11B77" w:rsidRDefault="00057C8F" w14:paraId="7F64B406" wp14:textId="77777777">
      <w:pPr>
        <w:numPr>
          <w:ilvl w:val="0"/>
          <w:numId w:val="1"/>
        </w:numPr>
        <w:spacing w:before="0" w:after="0" w:line="240" w:lineRule="auto"/>
        <w:ind w:left="709" w:firstLine="0"/>
        <w:jc w:val="left"/>
        <w:rPr>
          <w:i/>
          <w:szCs w:val="20"/>
          <w:lang w:val="en-US"/>
        </w:rPr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2. Chandrasekhar S. The stability of Non-Dissipative Couette Flow in Hydromagnetics // Proc. Nat. Acad. Sci. USA 46, 253-257 (1960).</w:t>
      </w:r>
    </w:p>
    <w:p xmlns:wp14="http://schemas.microsoft.com/office/word/2010/wordml" w:rsidR="00E11B77" w:rsidRDefault="00057C8F" w14:paraId="2DD4ECEF" wp14:textId="77777777">
      <w:pPr>
        <w:numPr>
          <w:ilvl w:val="0"/>
          <w:numId w:val="1"/>
        </w:numPr>
        <w:spacing w:before="0" w:after="0" w:line="240" w:lineRule="auto"/>
        <w:ind w:left="709" w:firstLine="0"/>
        <w:jc w:val="left"/>
        <w:rPr>
          <w:i/>
          <w:szCs w:val="20"/>
          <w:lang w:val="en-US"/>
        </w:rPr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3. Rayleigh Lord // Proc. R. Soc. A 93, 143 (1916)</w:t>
      </w:r>
    </w:p>
    <w:p xmlns:wp14="http://schemas.microsoft.com/office/word/2010/wordml" w:rsidR="00E11B77" w:rsidRDefault="00057C8F" w14:paraId="10467938" wp14:textId="77777777">
      <w:pPr>
        <w:numPr>
          <w:ilvl w:val="0"/>
          <w:numId w:val="1"/>
        </w:numPr>
        <w:spacing w:before="0" w:after="0" w:line="240" w:lineRule="auto"/>
        <w:ind w:left="709" w:firstLine="0"/>
        <w:jc w:val="left"/>
        <w:rPr>
          <w:i/>
          <w:szCs w:val="20"/>
          <w:lang w:val="en-US"/>
        </w:rPr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4. Shakura N. I., Sunyaev R. A. Black holes in binary systems. Observational appearance // Astron. Astrophys. 24, 337-355 (1973)</w:t>
      </w:r>
    </w:p>
    <w:p xmlns:wp14="http://schemas.microsoft.com/office/word/2010/wordml" w:rsidR="00E11B77" w:rsidRDefault="00057C8F" w14:paraId="2F1C7095" wp14:textId="77777777">
      <w:pPr>
        <w:numPr>
          <w:ilvl w:val="0"/>
          <w:numId w:val="1"/>
        </w:numPr>
        <w:spacing w:before="0" w:after="0" w:line="240" w:lineRule="auto"/>
        <w:ind w:left="709" w:firstLine="0"/>
        <w:jc w:val="left"/>
        <w:rPr>
          <w:i/>
          <w:szCs w:val="20"/>
          <w:lang w:val="en-US"/>
        </w:rPr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5. Velikhov E. P. // Sov. Phys. JETP 36, 1398 (1959)</w:t>
      </w:r>
    </w:p>
    <w:p xmlns:wp14="http://schemas.microsoft.com/office/word/2010/wordml" w:rsidR="00E11B77" w:rsidRDefault="00E11B77" w14:paraId="0D0B940D" wp14:textId="77777777">
      <w:pPr>
        <w:spacing w:before="0" w:after="0" w:line="240" w:lineRule="auto"/>
        <w:ind w:left="709"/>
        <w:jc w:val="both"/>
      </w:pPr>
    </w:p>
    <w:sectPr w:rsidR="00E11B77">
      <w:pgSz w:w="11906" w:h="16838" w:orient="portrait"/>
      <w:pgMar w:top="1134" w:right="1361" w:bottom="125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00000" w:rsidRDefault="00057C8F" w14:paraId="0E27B00A" wp14:textId="77777777">
      <w:r>
        <w:separator/>
      </w:r>
    </w:p>
  </w:endnote>
  <w:endnote w:type="continuationSeparator" w:id="0">
    <w:p xmlns:wp14="http://schemas.microsoft.com/office/word/2010/wordml" w:rsidR="00000000" w:rsidRDefault="00057C8F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00000" w:rsidRDefault="00057C8F" w14:paraId="44EAFD9C" wp14:textId="77777777"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000000" w:rsidRDefault="00057C8F" w14:paraId="4B94D5A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A77B4"/>
    <w:multiLevelType w:val="multilevel"/>
    <w:tmpl w:val="FA4E1AFC"/>
    <w:styleLink w:val="WW8Num2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view w:val="normal"/>
  <w:zoom w:percent="100"/>
  <w:revisionView w:inkAnnotations="0"/>
  <w:trackRevisions w:val="false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11B77"/>
    <w:rsid w:val="00057C8F"/>
    <w:rsid w:val="00E11B77"/>
    <w:rsid w:val="107B1249"/>
    <w:rsid w:val="1B0A84F3"/>
    <w:rsid w:val="2C7465C9"/>
    <w:rsid w:val="3D44B9A5"/>
    <w:rsid w:val="40C2E627"/>
    <w:rsid w:val="4806A4A8"/>
    <w:rsid w:val="6417D476"/>
    <w:rsid w:val="71E1C770"/>
    <w:rsid w:val="7832D8E8"/>
    <w:rsid w:val="7D74F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C69232"/>
  <w15:docId w15:val="{5A5F2E2E-3706-4C96-BF26-99C07D36B8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Liberation Serif" w:hAnsi="Liberation Serif" w:eastAsia="Noto Serif CJK SC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rPr>
      <w:rFonts w:ascii="Times New Roman" w:hAnsi="Times New Roman"/>
      <w:sz w:val="24"/>
    </w:rPr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a" w:customStyle="1">
    <w:name w:val="Абзац списка"/>
    <w:basedOn w:val="Standard"/>
    <w:pPr>
      <w:ind w:left="720"/>
    </w:pPr>
  </w:style>
  <w:style w:type="paragraph" w:styleId="TableContents" w:customStyle="1">
    <w:name w:val="Table Contents"/>
    <w:basedOn w:val="Standard"/>
    <w:pPr>
      <w:widowControl w:val="0"/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WW8Num2z0" w:customStyle="1">
    <w:name w:val="WW8Num2z0"/>
    <w:rPr>
      <w:i w:val="0"/>
    </w:rPr>
  </w:style>
  <w:style w:type="character" w:styleId="Emphasis">
    <w:name w:val="Emphasis"/>
    <w:rPr>
      <w:i/>
      <w:iCs/>
    </w:rPr>
  </w:style>
  <w:style w:type="character" w:styleId="a0" w:customStyle="1">
    <w:name w:val="Основной шрифт абзаца"/>
  </w:style>
  <w:style w:type="character" w:styleId="apple-converted-space" w:customStyle="1">
    <w:name w:val="apple-converted-space"/>
    <w:basedOn w:val="a0"/>
  </w:style>
  <w:style w:type="numbering" w:styleId="WW8Num2" w:customStyle="1">
    <w:name w:val="WW8Num2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Кирилл Парусов</lastModifiedBy>
  <revision>3</revision>
  <dcterms:created xsi:type="dcterms:W3CDTF">2026-03-02T11:58:00.0000000Z</dcterms:created>
  <dcterms:modified xsi:type="dcterms:W3CDTF">2026-03-02T12:59:33.2273968Z</dcterms:modified>
</coreProperties>
</file>