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35EA" w14:textId="79CB9A98" w:rsidR="00800F06" w:rsidRPr="004E55ED" w:rsidRDefault="00800F06" w:rsidP="00BE2CB6">
      <w:pPr>
        <w:spacing w:after="0" w:line="240" w:lineRule="auto"/>
        <w:jc w:val="center"/>
        <w:rPr>
          <w:rFonts w:ascii="Times New Roman" w:hAnsi="Times New Roman"/>
          <w:b/>
        </w:rPr>
      </w:pPr>
      <w:r w:rsidRPr="00800F06">
        <w:rPr>
          <w:rFonts w:ascii="Times New Roman" w:hAnsi="Times New Roman"/>
          <w:b/>
        </w:rPr>
        <w:t>Системно-</w:t>
      </w:r>
      <w:proofErr w:type="spellStart"/>
      <w:r w:rsidRPr="00800F06">
        <w:rPr>
          <w:rFonts w:ascii="Times New Roman" w:hAnsi="Times New Roman"/>
          <w:b/>
        </w:rPr>
        <w:t>трансдисциплинарный</w:t>
      </w:r>
      <w:proofErr w:type="spellEnd"/>
      <w:r w:rsidRPr="00800F06">
        <w:rPr>
          <w:rFonts w:ascii="Times New Roman" w:hAnsi="Times New Roman"/>
          <w:b/>
        </w:rPr>
        <w:t xml:space="preserve"> подход к пониманию личности переводчика</w:t>
      </w:r>
    </w:p>
    <w:p w14:paraId="2B39137F" w14:textId="05858168" w:rsidR="00BE2CB6" w:rsidRDefault="00BE2CB6" w:rsidP="00BE2CB6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Зайцев Даниэль Александрович</w:t>
      </w:r>
    </w:p>
    <w:p w14:paraId="47ADBFAF" w14:textId="77777777" w:rsidR="00BE2CB6" w:rsidRDefault="00BE2CB6" w:rsidP="00BE2CB6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Аспирант</w:t>
      </w:r>
    </w:p>
    <w:p w14:paraId="6F9F8087" w14:textId="77777777" w:rsidR="00BE2CB6" w:rsidRDefault="00BE2CB6" w:rsidP="00BE2CB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</w:rPr>
        <w:t>М.В.Ломоносова</w:t>
      </w:r>
      <w:proofErr w:type="spellEnd"/>
    </w:p>
    <w:p w14:paraId="5512A0B8" w14:textId="77777777" w:rsidR="00BE2CB6" w:rsidRDefault="00BE2CB6" w:rsidP="00BE2CB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Высшая школа перевода, Москва, Россия</w:t>
      </w:r>
    </w:p>
    <w:p w14:paraId="04D40DCD" w14:textId="1150978A" w:rsidR="00BE2CB6" w:rsidRPr="00800F06" w:rsidRDefault="00BE2CB6" w:rsidP="00BE2CB6">
      <w:pPr>
        <w:jc w:val="center"/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</w:t>
      </w:r>
      <w:proofErr w:type="spellStart"/>
      <w:r>
        <w:rPr>
          <w:rFonts w:ascii="Times New Roman" w:hAnsi="Times New Roman"/>
          <w:i/>
          <w:lang w:val="en-US"/>
        </w:rPr>
        <w:t>hgonelove</w:t>
      </w:r>
      <w:proofErr w:type="spellEnd"/>
      <w:r>
        <w:rPr>
          <w:rFonts w:ascii="Times New Roman" w:hAnsi="Times New Roman"/>
          <w:i/>
        </w:rPr>
        <w:t>101@</w:t>
      </w:r>
      <w:proofErr w:type="spellStart"/>
      <w:r>
        <w:rPr>
          <w:rFonts w:ascii="Times New Roman" w:hAnsi="Times New Roman"/>
          <w:i/>
          <w:lang w:val="en-US"/>
        </w:rPr>
        <w:t>gmail</w:t>
      </w:r>
      <w:proofErr w:type="spellEnd"/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lang w:val="en-US"/>
        </w:rPr>
        <w:t>com</w:t>
      </w:r>
    </w:p>
    <w:p w14:paraId="752D0440" w14:textId="022D74C6" w:rsidR="00BE2CB6" w:rsidRPr="00800F06" w:rsidRDefault="00BF5CAE" w:rsidP="00BF5CA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Исследовани</w:t>
      </w:r>
      <w:r w:rsidR="00BE2CB6" w:rsidRPr="00BE2CB6">
        <w:rPr>
          <w:rFonts w:ascii="Times New Roman" w:hAnsi="Times New Roman" w:cs="Times New Roman"/>
        </w:rPr>
        <w:t>е личностных характеристик [</w:t>
      </w:r>
      <w:r w:rsidR="003441DF">
        <w:rPr>
          <w:rFonts w:ascii="Times New Roman" w:hAnsi="Times New Roman" w:cs="Times New Roman"/>
        </w:rPr>
        <w:t>7</w:t>
      </w:r>
      <w:r w:rsidR="00BE2CB6" w:rsidRPr="00BE2CB6">
        <w:rPr>
          <w:rFonts w:ascii="Times New Roman" w:hAnsi="Times New Roman" w:cs="Times New Roman"/>
        </w:rPr>
        <w:t>], [</w:t>
      </w:r>
      <w:r w:rsidR="003441DF">
        <w:rPr>
          <w:rFonts w:ascii="Times New Roman" w:hAnsi="Times New Roman" w:cs="Times New Roman"/>
        </w:rPr>
        <w:t>6</w:t>
      </w:r>
      <w:r w:rsidR="00BE2CB6" w:rsidRPr="00BE2CB6">
        <w:rPr>
          <w:rFonts w:ascii="Times New Roman" w:hAnsi="Times New Roman" w:cs="Times New Roman"/>
        </w:rPr>
        <w:t>] человека-переводчика особенно актуально, поскольку перевод осуществляется всегда для «чего-то», «кого-то», «каких-либо целей», что обуславливает важность того, «кто» именно и «как» осуществляет перевод.</w:t>
      </w:r>
      <w:proofErr w:type="gramEnd"/>
      <w:r w:rsidR="00BE2CB6" w:rsidRPr="00BE2CB6">
        <w:rPr>
          <w:rFonts w:ascii="Times New Roman" w:hAnsi="Times New Roman" w:cs="Times New Roman"/>
        </w:rPr>
        <w:t xml:space="preserve"> В связи с этим, объединение различных личностных характеристик человека-переводчика как субъекта трудо</w:t>
      </w:r>
      <w:bookmarkStart w:id="0" w:name="_GoBack"/>
      <w:bookmarkEnd w:id="0"/>
      <w:r w:rsidR="00BE2CB6" w:rsidRPr="00BE2CB6">
        <w:rPr>
          <w:rFonts w:ascii="Times New Roman" w:hAnsi="Times New Roman" w:cs="Times New Roman"/>
        </w:rPr>
        <w:t>вой деятельности в особую единую систему [</w:t>
      </w:r>
      <w:r w:rsidR="003441DF" w:rsidRPr="003441DF">
        <w:rPr>
          <w:rFonts w:ascii="Times New Roman" w:hAnsi="Times New Roman" w:cs="Times New Roman"/>
        </w:rPr>
        <w:t>5</w:t>
      </w:r>
      <w:r w:rsidR="00BE2CB6" w:rsidRPr="00BE2CB6">
        <w:rPr>
          <w:rFonts w:ascii="Times New Roman" w:hAnsi="Times New Roman" w:cs="Times New Roman"/>
        </w:rPr>
        <w:t>], структура и функционирование которой могли бы отражать ценные профессиональные качества, влияющие на процесс и результат перевода, видится полезным.</w:t>
      </w:r>
    </w:p>
    <w:p w14:paraId="5B0905D5" w14:textId="1329AD22" w:rsidR="00BE2CB6" w:rsidRPr="00BE2CB6" w:rsidRDefault="00BE2CB6" w:rsidP="00BF5CA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E2CB6">
        <w:rPr>
          <w:rFonts w:ascii="Times New Roman" w:hAnsi="Times New Roman" w:cs="Times New Roman"/>
        </w:rPr>
        <w:t>Поскольку процесс перевода определяется взаимоотношениями не только между «личностью» и «д</w:t>
      </w:r>
      <w:r w:rsidR="00B40E97">
        <w:rPr>
          <w:rFonts w:ascii="Times New Roman" w:hAnsi="Times New Roman" w:cs="Times New Roman"/>
        </w:rPr>
        <w:t>е</w:t>
      </w:r>
      <w:r w:rsidRPr="00BE2CB6">
        <w:rPr>
          <w:rFonts w:ascii="Times New Roman" w:hAnsi="Times New Roman" w:cs="Times New Roman"/>
        </w:rPr>
        <w:t>ятельностью» самого переводчика [1], но и взаимосвязью с внешней «средой» [2], к исследованию «личности» применены системно-структурный и системно-</w:t>
      </w:r>
      <w:proofErr w:type="spellStart"/>
      <w:r w:rsidRPr="00BE2CB6">
        <w:rPr>
          <w:rFonts w:ascii="Times New Roman" w:hAnsi="Times New Roman" w:cs="Times New Roman"/>
        </w:rPr>
        <w:t>трансдисциплинарный</w:t>
      </w:r>
      <w:proofErr w:type="spellEnd"/>
      <w:r w:rsidRPr="00BE2CB6">
        <w:rPr>
          <w:rFonts w:ascii="Times New Roman" w:hAnsi="Times New Roman" w:cs="Times New Roman"/>
        </w:rPr>
        <w:t xml:space="preserve"> подходы.</w:t>
      </w:r>
    </w:p>
    <w:p w14:paraId="04319C84" w14:textId="3F61FEF2" w:rsidR="00BE2CB6" w:rsidRPr="003441DF" w:rsidRDefault="00BE2CB6" w:rsidP="00BF5CA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E2CB6">
        <w:rPr>
          <w:rFonts w:ascii="Times New Roman" w:hAnsi="Times New Roman" w:cs="Times New Roman"/>
        </w:rPr>
        <w:t xml:space="preserve">Исследование показало, что кроме «опыта», имеющего воздействие на «технологию» перевода, не менее значимыми для успешной трудовой деятельности являются ценностные ориентации самого переводчика, его личное мировоззрение и жизненная позиция. «Темперамент» оказывает сильное влияние на алгоритм переводческих «действий» - → </w:t>
      </w:r>
      <w:proofErr w:type="spellStart"/>
      <w:r w:rsidRPr="00BE2CB6">
        <w:rPr>
          <w:rFonts w:ascii="Times New Roman" w:hAnsi="Times New Roman" w:cs="Times New Roman"/>
        </w:rPr>
        <w:t>предпонимание</w:t>
      </w:r>
      <w:proofErr w:type="spellEnd"/>
      <w:r w:rsidRPr="00BE2CB6">
        <w:rPr>
          <w:rFonts w:ascii="Times New Roman" w:hAnsi="Times New Roman" w:cs="Times New Roman"/>
        </w:rPr>
        <w:t xml:space="preserve"> → понимание → интерпретацию → этап принятия переводческого решения [</w:t>
      </w:r>
      <w:r w:rsidR="003441DF">
        <w:rPr>
          <w:rFonts w:ascii="Times New Roman" w:hAnsi="Times New Roman" w:cs="Times New Roman"/>
        </w:rPr>
        <w:t>4</w:t>
      </w:r>
      <w:r w:rsidRPr="00BE2CB6">
        <w:rPr>
          <w:rFonts w:ascii="Times New Roman" w:hAnsi="Times New Roman" w:cs="Times New Roman"/>
        </w:rPr>
        <w:t>].</w:t>
      </w:r>
    </w:p>
    <w:p w14:paraId="7E4E2926" w14:textId="6B46C88A" w:rsidR="00BE2CB6" w:rsidRPr="00800F06" w:rsidRDefault="00BE2CB6" w:rsidP="00BF5CA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E2CB6">
        <w:rPr>
          <w:rFonts w:ascii="Times New Roman" w:hAnsi="Times New Roman" w:cs="Times New Roman"/>
        </w:rPr>
        <w:t>В заключении сделаны выводы о том, что разным людям в разных ситуациях переводить один и тот же текст одинаково невозможно</w:t>
      </w:r>
      <w:r w:rsidR="003441DF" w:rsidRPr="003441DF">
        <w:rPr>
          <w:rFonts w:ascii="Times New Roman" w:hAnsi="Times New Roman" w:cs="Times New Roman"/>
        </w:rPr>
        <w:t xml:space="preserve"> [3]</w:t>
      </w:r>
      <w:r w:rsidRPr="00BE2CB6">
        <w:rPr>
          <w:rFonts w:ascii="Times New Roman" w:hAnsi="Times New Roman" w:cs="Times New Roman"/>
        </w:rPr>
        <w:t>, в контексте того, что основными атрибутами человеческой личности являются её индивидуальные особенности и неповторимость.</w:t>
      </w:r>
    </w:p>
    <w:p w14:paraId="31901A5B" w14:textId="77777777" w:rsidR="00BE2CB6" w:rsidRPr="00800F06" w:rsidRDefault="00BE2CB6" w:rsidP="00BE2CB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661D82C" w14:textId="24E58368" w:rsidR="00091491" w:rsidRDefault="00BE2CB6" w:rsidP="00BE2CB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BE2CB6">
        <w:rPr>
          <w:rFonts w:ascii="Times New Roman" w:eastAsia="Aptos" w:hAnsi="Times New Roman" w:cs="Times New Roman"/>
          <w:b/>
          <w:kern w:val="0"/>
          <w14:ligatures w14:val="none"/>
        </w:rPr>
        <w:t>Литература</w:t>
      </w:r>
    </w:p>
    <w:p w14:paraId="45FB336D" w14:textId="77777777" w:rsidR="003441DF" w:rsidRDefault="003441DF" w:rsidP="00BE2CB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76DC6CBF" w14:textId="77777777" w:rsid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 xml:space="preserve">Белов М. В., Новиков Д. А. Модели деятельности (основы математической теории деятельности). — М.: </w:t>
      </w:r>
      <w:proofErr w:type="spellStart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Ленанд</w:t>
      </w:r>
      <w:proofErr w:type="spellEnd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, 2021. — 216 с.</w:t>
      </w:r>
    </w:p>
    <w:p w14:paraId="38795F50" w14:textId="77777777" w:rsid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 xml:space="preserve">Гарбовский Н. К. Теория перевода: учебник и практикум для академического бакалавриата. — М.: </w:t>
      </w:r>
      <w:proofErr w:type="spellStart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Юрайт</w:t>
      </w:r>
      <w:proofErr w:type="spellEnd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, 2015. — 413 с.</w:t>
      </w:r>
    </w:p>
    <w:p w14:paraId="20F97C3D" w14:textId="1CCE9FB0" w:rsidR="003441DF" w:rsidRP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Гарбовский, Н. К.</w:t>
      </w:r>
      <w:r>
        <w:rPr>
          <w:rFonts w:ascii="Times New Roman" w:eastAsia="Aptos" w:hAnsi="Times New Roman" w:cs="Times New Roman"/>
          <w:bCs/>
          <w:kern w:val="0"/>
          <w14:ligatures w14:val="none"/>
        </w:rPr>
        <w:t xml:space="preserve"> </w:t>
      </w: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Теория перевода. Век XXI: от эмпиризма к рационализму. Вестник Московского университета. Серия 22. Теория перевода, (1), 29-47.</w:t>
      </w:r>
    </w:p>
    <w:p w14:paraId="6F167186" w14:textId="77777777" w:rsid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proofErr w:type="spellStart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Мишкуров</w:t>
      </w:r>
      <w:proofErr w:type="spellEnd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 xml:space="preserve"> Э. Н. Герменевтика перевода: теория, методология, практика. — М.: ФЛИНТА, 2018. — 312 с.</w:t>
      </w:r>
    </w:p>
    <w:p w14:paraId="5CD4F7D3" w14:textId="77777777" w:rsid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 xml:space="preserve">Новиков Д. А. Методология управления. — М.: </w:t>
      </w:r>
      <w:proofErr w:type="spellStart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Ленанд</w:t>
      </w:r>
      <w:proofErr w:type="spellEnd"/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, 2020. — 304 с.</w:t>
      </w:r>
    </w:p>
    <w:p w14:paraId="74F54BAD" w14:textId="77777777" w:rsid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Платонов К. К. Структура и развитие личности. — М.: Наука, 1984. — 255 с.</w:t>
      </w:r>
    </w:p>
    <w:p w14:paraId="53D0F90A" w14:textId="7085C73A" w:rsidR="003441DF" w:rsidRPr="003441DF" w:rsidRDefault="003441DF" w:rsidP="003441D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3441DF">
        <w:rPr>
          <w:rFonts w:ascii="Times New Roman" w:eastAsia="Aptos" w:hAnsi="Times New Roman" w:cs="Times New Roman"/>
          <w:bCs/>
          <w:kern w:val="0"/>
          <w14:ligatures w14:val="none"/>
        </w:rPr>
        <w:t>Рубинштейн С. Л. Основы общей психологии. — СПб.: Питер, 2000. — 712 с.</w:t>
      </w:r>
    </w:p>
    <w:sectPr w:rsidR="003441DF" w:rsidRPr="003441DF" w:rsidSect="00BF5C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5639"/>
    <w:multiLevelType w:val="hybridMultilevel"/>
    <w:tmpl w:val="09DC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B6"/>
    <w:rsid w:val="00091491"/>
    <w:rsid w:val="000F5E1D"/>
    <w:rsid w:val="001775EB"/>
    <w:rsid w:val="003441DF"/>
    <w:rsid w:val="004E55ED"/>
    <w:rsid w:val="00800F06"/>
    <w:rsid w:val="00AB0175"/>
    <w:rsid w:val="00B40E97"/>
    <w:rsid w:val="00BE2CB6"/>
    <w:rsid w:val="00BF5CAE"/>
    <w:rsid w:val="00CD04B6"/>
    <w:rsid w:val="00D358DD"/>
    <w:rsid w:val="00D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C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C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C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C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C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1D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C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C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C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C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C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1D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 Зайцев</dc:creator>
  <cp:lastModifiedBy>teacher</cp:lastModifiedBy>
  <cp:revision>2</cp:revision>
  <dcterms:created xsi:type="dcterms:W3CDTF">2026-03-12T09:50:00Z</dcterms:created>
  <dcterms:modified xsi:type="dcterms:W3CDTF">2026-03-12T09:50:00Z</dcterms:modified>
</cp:coreProperties>
</file>