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3C" w:rsidRDefault="00924D35" w:rsidP="0027578C">
      <w:pPr>
        <w:spacing w:line="240" w:lineRule="auto"/>
        <w:jc w:val="center"/>
      </w:pPr>
      <w:r w:rsidRPr="00E30E45">
        <w:rPr>
          <w:rFonts w:ascii="Times New Roman" w:eastAsia="Times New Roman" w:hAnsi="Times New Roman" w:cs="Times New Roman"/>
          <w:b/>
          <w:sz w:val="24"/>
          <w:szCs w:val="24"/>
        </w:rPr>
        <w:t xml:space="preserve">Химические свойства почв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Норильского промышленного района </w:t>
      </w:r>
      <w:r w:rsidRPr="00E30E45">
        <w:rPr>
          <w:rFonts w:ascii="Times New Roman" w:eastAsia="Times New Roman" w:hAnsi="Times New Roman" w:cs="Times New Roman"/>
          <w:b/>
          <w:sz w:val="24"/>
          <w:szCs w:val="24"/>
        </w:rPr>
        <w:t>как критерии регионального нормирования тяж</w:t>
      </w:r>
      <w:r w:rsidR="00550850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 w:rsidRPr="00E30E45">
        <w:rPr>
          <w:rFonts w:ascii="Times New Roman" w:eastAsia="Times New Roman" w:hAnsi="Times New Roman" w:cs="Times New Roman"/>
          <w:b/>
          <w:sz w:val="24"/>
          <w:szCs w:val="24"/>
        </w:rPr>
        <w:t>лых металлов</w:t>
      </w:r>
    </w:p>
    <w:p w:rsidR="00BF5A3C" w:rsidRDefault="00924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924D35">
        <w:rPr>
          <w:rFonts w:ascii="Times New Roman" w:eastAsia="Times New Roman" w:hAnsi="Times New Roman" w:cs="Times New Roman"/>
          <w:b/>
          <w:i/>
          <w:color w:val="000000"/>
          <w:sz w:val="24"/>
        </w:rPr>
        <w:t>Титанюк И.И.</w:t>
      </w:r>
    </w:p>
    <w:p w:rsidR="004749AE" w:rsidRDefault="00EE3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924D35">
        <w:rPr>
          <w:rFonts w:ascii="Times New Roman" w:eastAsia="Times New Roman" w:hAnsi="Times New Roman" w:cs="Times New Roman"/>
          <w:i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924D35">
        <w:rPr>
          <w:rFonts w:ascii="Times New Roman" w:eastAsia="Times New Roman" w:hAnsi="Times New Roman" w:cs="Times New Roman"/>
          <w:i/>
          <w:color w:val="000000"/>
          <w:sz w:val="24"/>
        </w:rPr>
        <w:t>магистратуры</w:t>
      </w:r>
    </w:p>
    <w:p w:rsidR="00BF5A3C" w:rsidRPr="0027578C" w:rsidRDefault="00EE3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  <w:r w:rsidR="0027578C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  <w:r w:rsidR="0027578C"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 w:rsidRPr="00924D35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27578C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924D35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27578C">
        <w:rPr>
          <w:rFonts w:ascii="Times New Roman" w:eastAsia="Times New Roman" w:hAnsi="Times New Roman" w:cs="Times New Roman"/>
          <w:i/>
          <w:color w:val="000000"/>
          <w:sz w:val="24"/>
        </w:rPr>
        <w:t>:</w:t>
      </w:r>
      <w:r w:rsidR="00924D35" w:rsidRPr="0027578C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924D35" w:rsidRPr="00924D35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ilya</w:t>
      </w:r>
      <w:proofErr w:type="spellEnd"/>
      <w:r w:rsidR="00924D35" w:rsidRPr="0027578C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-</w:t>
      </w:r>
      <w:proofErr w:type="spellStart"/>
      <w:r w:rsidR="00924D35" w:rsidRPr="00924D35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titanyuk</w:t>
      </w:r>
      <w:proofErr w:type="spellEnd"/>
      <w:r w:rsidR="00924D35" w:rsidRPr="0027578C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@</w:t>
      </w:r>
      <w:r w:rsidR="00924D35" w:rsidRPr="00924D35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="00924D35" w:rsidRPr="0027578C">
        <w:rPr>
          <w:rStyle w:val="af"/>
          <w:rFonts w:ascii="Times New Roman" w:eastAsia="Times New Roman" w:hAnsi="Times New Roman" w:cs="Times New Roman"/>
          <w:i/>
          <w:color w:val="000000"/>
          <w:sz w:val="24"/>
        </w:rPr>
        <w:t>.</w:t>
      </w:r>
      <w:proofErr w:type="spellStart"/>
      <w:r w:rsidR="00924D35" w:rsidRPr="00924D35">
        <w:rPr>
          <w:rStyle w:val="af"/>
          <w:rFonts w:ascii="Times New Roman" w:eastAsia="Times New Roman" w:hAnsi="Times New Roman" w:cs="Times New Roman"/>
          <w:i/>
          <w:color w:val="000000"/>
          <w:sz w:val="24"/>
          <w:lang w:val="en-US"/>
        </w:rPr>
        <w:t>ru</w:t>
      </w:r>
      <w:proofErr w:type="spellEnd"/>
    </w:p>
    <w:p w:rsidR="00924D35" w:rsidRDefault="00924D35" w:rsidP="00924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 w:rsidRPr="00924D35">
        <w:rPr>
          <w:rFonts w:ascii="Times New Roman" w:eastAsia="Times New Roman" w:hAnsi="Times New Roman" w:cs="Times New Roman"/>
          <w:color w:val="000000"/>
          <w:sz w:val="24"/>
        </w:rPr>
        <w:t xml:space="preserve">Проблема. Почвы Норильского промышленного района (НПР) характеризуются естественным высоким геохимическим фоном </w:t>
      </w:r>
      <w:proofErr w:type="spellStart"/>
      <w:r w:rsidRPr="00924D35">
        <w:rPr>
          <w:rFonts w:ascii="Times New Roman" w:eastAsia="Times New Roman" w:hAnsi="Times New Roman" w:cs="Times New Roman"/>
          <w:color w:val="000000"/>
          <w:sz w:val="24"/>
        </w:rPr>
        <w:t>Cu</w:t>
      </w:r>
      <w:proofErr w:type="spellEnd"/>
      <w:r w:rsidRPr="00924D35">
        <w:rPr>
          <w:rFonts w:ascii="Times New Roman" w:eastAsia="Times New Roman" w:hAnsi="Times New Roman" w:cs="Times New Roman"/>
          <w:color w:val="000000"/>
          <w:sz w:val="24"/>
        </w:rPr>
        <w:t xml:space="preserve"> (150–250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924D35">
        <w:rPr>
          <w:rFonts w:ascii="Times New Roman" w:eastAsia="Times New Roman" w:hAnsi="Times New Roman" w:cs="Times New Roman"/>
          <w:color w:val="000000"/>
          <w:sz w:val="24"/>
        </w:rPr>
        <w:t xml:space="preserve">мг/кг) и </w:t>
      </w:r>
      <w:proofErr w:type="spellStart"/>
      <w:r w:rsidRPr="00924D35">
        <w:rPr>
          <w:rFonts w:ascii="Times New Roman" w:eastAsia="Times New Roman" w:hAnsi="Times New Roman" w:cs="Times New Roman"/>
          <w:color w:val="000000"/>
          <w:sz w:val="24"/>
        </w:rPr>
        <w:t>Ni</w:t>
      </w:r>
      <w:proofErr w:type="spellEnd"/>
      <w:r w:rsidRPr="00924D35">
        <w:rPr>
          <w:rFonts w:ascii="Times New Roman" w:eastAsia="Times New Roman" w:hAnsi="Times New Roman" w:cs="Times New Roman"/>
          <w:color w:val="000000"/>
          <w:sz w:val="24"/>
        </w:rPr>
        <w:t xml:space="preserve"> (80–150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924D35">
        <w:rPr>
          <w:rFonts w:ascii="Times New Roman" w:eastAsia="Times New Roman" w:hAnsi="Times New Roman" w:cs="Times New Roman"/>
          <w:color w:val="000000"/>
          <w:sz w:val="24"/>
        </w:rPr>
        <w:t xml:space="preserve">мг/кг), что в 3–5 раз превышает </w:t>
      </w:r>
      <w:proofErr w:type="spellStart"/>
      <w:r w:rsidRPr="00924D35">
        <w:rPr>
          <w:rFonts w:ascii="Times New Roman" w:eastAsia="Times New Roman" w:hAnsi="Times New Roman" w:cs="Times New Roman"/>
          <w:color w:val="000000"/>
          <w:sz w:val="24"/>
        </w:rPr>
        <w:t>Clarke</w:t>
      </w:r>
      <w:proofErr w:type="spellEnd"/>
      <w:r w:rsidRPr="00924D35">
        <w:rPr>
          <w:rFonts w:ascii="Times New Roman" w:eastAsia="Times New Roman" w:hAnsi="Times New Roman" w:cs="Times New Roman"/>
          <w:color w:val="000000"/>
          <w:sz w:val="24"/>
        </w:rPr>
        <w:t>. Применение общероссийских ПДК (СанПиН 1.2.3685-21) созда</w:t>
      </w:r>
      <w:r w:rsidR="00550850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Pr="00924D35">
        <w:rPr>
          <w:rFonts w:ascii="Times New Roman" w:eastAsia="Times New Roman" w:hAnsi="Times New Roman" w:cs="Times New Roman"/>
          <w:color w:val="000000"/>
          <w:sz w:val="24"/>
        </w:rPr>
        <w:t xml:space="preserve">т 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924D35">
        <w:rPr>
          <w:rFonts w:ascii="Times New Roman" w:eastAsia="Times New Roman" w:hAnsi="Times New Roman" w:cs="Times New Roman"/>
          <w:color w:val="000000"/>
          <w:sz w:val="24"/>
        </w:rPr>
        <w:t>ложноположительные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924D35">
        <w:rPr>
          <w:rFonts w:ascii="Times New Roman" w:eastAsia="Times New Roman" w:hAnsi="Times New Roman" w:cs="Times New Roman"/>
          <w:color w:val="000000"/>
          <w:sz w:val="24"/>
        </w:rPr>
        <w:t xml:space="preserve"> зоны риска, задавая ограничения для хозяйственной деятельности при отсутствии реальной экологической угрозы.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924D35" w:rsidRDefault="00924D35" w:rsidP="00924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Цель — установить химические свойства почв НПР как критерии дифференцированного нормирования ТМ с учетом фракционной подвижности и буферных возможностей арктических почв.</w:t>
      </w:r>
      <w:r w:rsidRPr="00924D35">
        <w:t xml:space="preserve"> </w:t>
      </w:r>
    </w:p>
    <w:p w:rsidR="00924D35" w:rsidRDefault="00924D35" w:rsidP="00924D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 w:rsidRPr="00924D35">
        <w:rPr>
          <w:rFonts w:ascii="Times New Roman" w:eastAsia="Times New Roman" w:hAnsi="Times New Roman" w:cs="Times New Roman"/>
          <w:sz w:val="24"/>
          <w:szCs w:val="24"/>
        </w:rPr>
        <w:t>Объект исследования — 24 почвенн</w:t>
      </w:r>
      <w:r w:rsidR="009422DE">
        <w:rPr>
          <w:rFonts w:ascii="Times New Roman" w:eastAsia="Times New Roman" w:hAnsi="Times New Roman" w:cs="Times New Roman"/>
          <w:sz w:val="24"/>
          <w:szCs w:val="24"/>
        </w:rPr>
        <w:t xml:space="preserve">ых профиля (110 горизонтов) НПР. </w:t>
      </w:r>
      <w:r w:rsidRPr="00924D35">
        <w:rPr>
          <w:rFonts w:ascii="Times New Roman" w:eastAsia="Times New Roman" w:hAnsi="Times New Roman" w:cs="Times New Roman"/>
          <w:sz w:val="24"/>
          <w:szCs w:val="24"/>
        </w:rPr>
        <w:t>Методы: тр</w:t>
      </w:r>
      <w:r w:rsidR="00550850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924D35">
        <w:rPr>
          <w:rFonts w:ascii="Times New Roman" w:eastAsia="Times New Roman" w:hAnsi="Times New Roman" w:cs="Times New Roman"/>
          <w:sz w:val="24"/>
          <w:szCs w:val="24"/>
        </w:rPr>
        <w:t xml:space="preserve">хэтапная BCR-схема, </w:t>
      </w:r>
      <w:proofErr w:type="spellStart"/>
      <w:r w:rsidRPr="00924D35">
        <w:rPr>
          <w:rFonts w:ascii="Times New Roman" w:eastAsia="Times New Roman" w:hAnsi="Times New Roman" w:cs="Times New Roman"/>
          <w:sz w:val="24"/>
          <w:szCs w:val="24"/>
        </w:rPr>
        <w:t>Zc</w:t>
      </w:r>
      <w:proofErr w:type="spellEnd"/>
      <w:r w:rsidRPr="00924D35">
        <w:rPr>
          <w:rFonts w:ascii="Times New Roman" w:eastAsia="Times New Roman" w:hAnsi="Times New Roman" w:cs="Times New Roman"/>
          <w:sz w:val="24"/>
          <w:szCs w:val="24"/>
        </w:rPr>
        <w:t xml:space="preserve"> (МУ 2.1.7.730-99), корреляционный анализ химических свойств (</w:t>
      </w:r>
      <w:proofErr w:type="spellStart"/>
      <w:r w:rsidRPr="00924D35"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 w:rsidRPr="00924D35">
        <w:rPr>
          <w:rFonts w:ascii="Times New Roman" w:eastAsia="Times New Roman" w:hAnsi="Times New Roman" w:cs="Times New Roman"/>
          <w:sz w:val="24"/>
          <w:szCs w:val="24"/>
        </w:rPr>
        <w:t xml:space="preserve">, OC, </w:t>
      </w:r>
      <w:proofErr w:type="spellStart"/>
      <w:r w:rsidRPr="00924D35">
        <w:rPr>
          <w:rFonts w:ascii="Times New Roman" w:eastAsia="Times New Roman" w:hAnsi="Times New Roman" w:cs="Times New Roman"/>
          <w:sz w:val="24"/>
          <w:szCs w:val="24"/>
        </w:rPr>
        <w:t>dFe</w:t>
      </w:r>
      <w:proofErr w:type="spellEnd"/>
      <w:r w:rsidRPr="00924D3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24D35">
        <w:t xml:space="preserve"> </w:t>
      </w:r>
    </w:p>
    <w:p w:rsidR="007C767F" w:rsidRDefault="007C767F" w:rsidP="007C76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1. </w:t>
      </w:r>
      <w:r w:rsidR="00924D35" w:rsidRPr="00924D35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="00021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D35" w:rsidRPr="00924D35">
        <w:rPr>
          <w:rFonts w:ascii="Times New Roman" w:eastAsia="Times New Roman" w:hAnsi="Times New Roman" w:cs="Times New Roman"/>
          <w:sz w:val="24"/>
          <w:szCs w:val="24"/>
        </w:rPr>
        <w:t>химические характеристики почв НПР</w:t>
      </w:r>
      <w:r w:rsidR="00653E65" w:rsidRPr="00653E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4D35" w:rsidRPr="00924D35">
        <w:rPr>
          <w:rFonts w:ascii="Times New Roman" w:eastAsia="Times New Roman" w:hAnsi="Times New Roman" w:cs="Times New Roman"/>
          <w:sz w:val="24"/>
          <w:szCs w:val="24"/>
        </w:rPr>
        <w:t xml:space="preserve"> определяю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щие нормирование (пример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e"/>
        <w:tblW w:w="0" w:type="auto"/>
        <w:tblInd w:w="108" w:type="dxa"/>
        <w:tblLook w:val="04A0"/>
      </w:tblPr>
      <w:tblGrid>
        <w:gridCol w:w="1843"/>
        <w:gridCol w:w="1239"/>
        <w:gridCol w:w="1595"/>
        <w:gridCol w:w="1419"/>
        <w:gridCol w:w="1984"/>
        <w:gridCol w:w="1276"/>
      </w:tblGrid>
      <w:tr w:rsidR="00C030A0" w:rsidTr="00550850">
        <w:tc>
          <w:tcPr>
            <w:tcW w:w="1843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Тип почвы</w:t>
            </w:r>
          </w:p>
        </w:tc>
        <w:tc>
          <w:tcPr>
            <w:tcW w:w="1239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</w:p>
        </w:tc>
        <w:tc>
          <w:tcPr>
            <w:tcW w:w="1595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OC, %</w:t>
            </w:r>
          </w:p>
        </w:tc>
        <w:tc>
          <w:tcPr>
            <w:tcW w:w="1419" w:type="dxa"/>
          </w:tcPr>
          <w:p w:rsidR="00C030A0" w:rsidRPr="00653E65" w:rsidRDefault="0055085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dFe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 </w:t>
            </w:r>
            <w:r w:rsidR="00C030A0" w:rsidRPr="00653E6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84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Cu</w:t>
            </w:r>
            <w:proofErr w:type="spellEnd"/>
            <w:r w:rsidRPr="00653E65">
              <w:rPr>
                <w:rFonts w:ascii="Times New Roman" w:hAnsi="Times New Roman" w:cs="Times New Roman"/>
                <w:sz w:val="22"/>
                <w:szCs w:val="22"/>
              </w:rPr>
              <w:t xml:space="preserve"> подвижное</w:t>
            </w:r>
          </w:p>
        </w:tc>
        <w:tc>
          <w:tcPr>
            <w:tcW w:w="1276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Zc</w:t>
            </w:r>
            <w:proofErr w:type="spellEnd"/>
          </w:p>
        </w:tc>
      </w:tr>
      <w:tr w:rsidR="00C030A0" w:rsidTr="00550850">
        <w:tc>
          <w:tcPr>
            <w:tcW w:w="1843" w:type="dxa"/>
          </w:tcPr>
          <w:p w:rsidR="00C030A0" w:rsidRPr="00521593" w:rsidRDefault="005832C4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Подбур</w:t>
            </w:r>
            <w:proofErr w:type="spellEnd"/>
            <w:r w:rsidR="00C030A0" w:rsidRPr="00653E65">
              <w:rPr>
                <w:rFonts w:ascii="Times New Roman" w:hAnsi="Times New Roman" w:cs="Times New Roman"/>
                <w:sz w:val="22"/>
                <w:szCs w:val="22"/>
              </w:rPr>
              <w:t xml:space="preserve"> H-1</w:t>
            </w:r>
            <w:r w:rsidR="0052159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1/2</w:t>
            </w:r>
          </w:p>
        </w:tc>
        <w:tc>
          <w:tcPr>
            <w:tcW w:w="1239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4.5–5.5</w:t>
            </w:r>
          </w:p>
        </w:tc>
        <w:tc>
          <w:tcPr>
            <w:tcW w:w="1595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1–5</w:t>
            </w:r>
          </w:p>
        </w:tc>
        <w:tc>
          <w:tcPr>
            <w:tcW w:w="1419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84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8.0</w:t>
            </w:r>
          </w:p>
        </w:tc>
      </w:tr>
      <w:tr w:rsidR="00C030A0" w:rsidTr="00550850">
        <w:tc>
          <w:tcPr>
            <w:tcW w:w="1843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Торф H-112</w:t>
            </w:r>
          </w:p>
        </w:tc>
        <w:tc>
          <w:tcPr>
            <w:tcW w:w="1239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3.8–4.8</w:t>
            </w:r>
          </w:p>
        </w:tc>
        <w:tc>
          <w:tcPr>
            <w:tcW w:w="1595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20–90</w:t>
            </w:r>
          </w:p>
        </w:tc>
        <w:tc>
          <w:tcPr>
            <w:tcW w:w="1419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&lt;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84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</w:tr>
      <w:tr w:rsidR="00C030A0" w:rsidTr="00550850">
        <w:tc>
          <w:tcPr>
            <w:tcW w:w="1843" w:type="dxa"/>
          </w:tcPr>
          <w:p w:rsidR="00C030A0" w:rsidRPr="00653E65" w:rsidRDefault="005832C4" w:rsidP="007414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Глеевая</w:t>
            </w:r>
            <w:r w:rsidR="00C030A0" w:rsidRPr="00653E65">
              <w:rPr>
                <w:rFonts w:ascii="Times New Roman" w:hAnsi="Times New Roman" w:cs="Times New Roman"/>
                <w:sz w:val="22"/>
                <w:szCs w:val="22"/>
              </w:rPr>
              <w:t xml:space="preserve"> H-23</w:t>
            </w:r>
          </w:p>
        </w:tc>
        <w:tc>
          <w:tcPr>
            <w:tcW w:w="1239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5.0–6.0</w:t>
            </w:r>
          </w:p>
        </w:tc>
        <w:tc>
          <w:tcPr>
            <w:tcW w:w="1595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0.5–2</w:t>
            </w:r>
          </w:p>
        </w:tc>
        <w:tc>
          <w:tcPr>
            <w:tcW w:w="1419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0.8–1.5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84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5508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C030A0" w:rsidRPr="00653E65" w:rsidRDefault="00C030A0" w:rsidP="00C030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E65">
              <w:rPr>
                <w:rFonts w:ascii="Times New Roman" w:hAnsi="Times New Roman" w:cs="Times New Roman"/>
                <w:sz w:val="22"/>
                <w:szCs w:val="22"/>
              </w:rPr>
              <w:t>0–2</w:t>
            </w:r>
          </w:p>
        </w:tc>
      </w:tr>
    </w:tbl>
    <w:p w:rsidR="00C004F9" w:rsidRDefault="00C004F9" w:rsidP="007C76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767F" w:rsidRPr="007C767F" w:rsidRDefault="007C767F" w:rsidP="007C76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767F">
        <w:rPr>
          <w:rFonts w:ascii="Times New Roman" w:eastAsia="Times New Roman" w:hAnsi="Times New Roman" w:cs="Times New Roman"/>
          <w:color w:val="000000"/>
          <w:sz w:val="24"/>
        </w:rPr>
        <w:t>Основные результаты: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 xml:space="preserve">1)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pH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&lt;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5.0 усиливает подвижность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Cu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(R = </w:t>
      </w:r>
      <w:r w:rsidR="002B27A3" w:rsidRPr="002B27A3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0.82, p &lt;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0.01) — ключевой критерий для региональных ОДК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 xml:space="preserve">2) </w:t>
      </w:r>
      <w:proofErr w:type="spellStart"/>
      <w:r w:rsidR="000211D0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лаборазложенное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ОС (R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=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0.78, p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&lt;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0.01) торфа H-112: растворенное органическое вещество (DOM) →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Cu-фульвокислотные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комплексы →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гидрофильны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→ </w:t>
      </w:r>
      <w:r w:rsidR="005832C4">
        <w:rPr>
          <w:rFonts w:ascii="Times New Roman" w:eastAsia="Times New Roman" w:hAnsi="Times New Roman" w:cs="Times New Roman"/>
          <w:color w:val="000000"/>
          <w:sz w:val="24"/>
        </w:rPr>
        <w:t>не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7C767F">
        <w:rPr>
          <w:rFonts w:ascii="Times New Roman" w:eastAsia="Times New Roman" w:hAnsi="Times New Roman" w:cs="Times New Roman"/>
          <w:color w:val="000000"/>
          <w:sz w:val="24"/>
        </w:rPr>
        <w:t>сорбируются</w:t>
      </w:r>
      <w:proofErr w:type="gram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→ </w:t>
      </w:r>
      <w:r w:rsidR="009422DE">
        <w:rPr>
          <w:rFonts w:ascii="Times New Roman" w:eastAsia="Times New Roman" w:hAnsi="Times New Roman" w:cs="Times New Roman"/>
          <w:color w:val="000000"/>
          <w:sz w:val="24"/>
        </w:rPr>
        <w:t>усиливают подвижность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(80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 % подвижное);</w:t>
      </w:r>
      <w:r w:rsidR="002757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 xml:space="preserve">3)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dFe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&gt;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% стабилизирует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Ni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в оксидных формах (R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=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0.78) — </w:t>
      </w:r>
      <w:r w:rsidR="009422DE">
        <w:rPr>
          <w:rFonts w:ascii="Times New Roman" w:eastAsia="Times New Roman" w:hAnsi="Times New Roman" w:cs="Times New Roman"/>
          <w:color w:val="000000"/>
          <w:sz w:val="24"/>
        </w:rPr>
        <w:t xml:space="preserve">основа </w:t>
      </w:r>
      <w:proofErr w:type="spellStart"/>
      <w:r w:rsidR="009422DE">
        <w:rPr>
          <w:rFonts w:ascii="Times New Roman" w:eastAsia="Times New Roman" w:hAnsi="Times New Roman" w:cs="Times New Roman"/>
          <w:color w:val="000000"/>
          <w:sz w:val="24"/>
        </w:rPr>
        <w:t>буферности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глеев</w:t>
      </w:r>
      <w:r w:rsidR="009422DE">
        <w:rPr>
          <w:rFonts w:ascii="Times New Roman" w:eastAsia="Times New Roman" w:hAnsi="Times New Roman" w:cs="Times New Roman"/>
          <w:color w:val="000000"/>
          <w:sz w:val="24"/>
        </w:rPr>
        <w:t>ых почв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7C767F" w:rsidRPr="007C767F" w:rsidRDefault="007C767F" w:rsidP="007C76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767F">
        <w:rPr>
          <w:rFonts w:ascii="Times New Roman" w:eastAsia="Times New Roman" w:hAnsi="Times New Roman" w:cs="Times New Roman"/>
          <w:color w:val="000000"/>
          <w:sz w:val="24"/>
        </w:rPr>
        <w:t>Предложенная система нормирования для НПР:</w:t>
      </w:r>
      <w:r w:rsidR="0027578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>1) В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аловое содержание: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Cu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≤200 мг/кг,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Ni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≤120 мг/кг (региональный фон)</w:t>
      </w:r>
      <w:r w:rsidR="0027578C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>2) Ф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ракци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онные критерии: </w:t>
      </w:r>
      <w:proofErr w:type="gramStart"/>
      <w:r w:rsidR="002B27A3">
        <w:rPr>
          <w:rFonts w:ascii="Times New Roman" w:eastAsia="Times New Roman" w:hAnsi="Times New Roman" w:cs="Times New Roman"/>
          <w:color w:val="000000"/>
          <w:sz w:val="24"/>
        </w:rPr>
        <w:t>подвижное</w:t>
      </w:r>
      <w:proofErr w:type="gramEnd"/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 &lt;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2B27A3">
        <w:rPr>
          <w:rFonts w:ascii="Times New Roman" w:eastAsia="Times New Roman" w:hAnsi="Times New Roman" w:cs="Times New Roman"/>
          <w:color w:val="000000"/>
          <w:sz w:val="24"/>
        </w:rPr>
        <w:t xml:space="preserve">20%; </w:t>
      </w:r>
      <w:r w:rsidR="00550850">
        <w:rPr>
          <w:rFonts w:ascii="Times New Roman" w:eastAsia="Times New Roman" w:hAnsi="Times New Roman" w:cs="Times New Roman"/>
          <w:color w:val="000000"/>
          <w:sz w:val="24"/>
        </w:rPr>
        <w:t>3)  Х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имические условия: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pH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&gt;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 xml:space="preserve"> 4.8 или OC 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&lt;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% при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Zc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&lt;</w:t>
      </w:r>
      <w:r w:rsidR="000211D0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16 (умеренное)</w:t>
      </w:r>
      <w:r w:rsidR="009422DE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004F9" w:rsidRPr="00C004F9" w:rsidRDefault="007C767F" w:rsidP="00C004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767F">
        <w:rPr>
          <w:rFonts w:ascii="Times New Roman" w:eastAsia="Times New Roman" w:hAnsi="Times New Roman" w:cs="Times New Roman"/>
          <w:color w:val="000000"/>
          <w:sz w:val="24"/>
        </w:rPr>
        <w:t>Вывод</w:t>
      </w:r>
      <w:r w:rsidR="00C004F9"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>. Химические свойства почв НПР (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pH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, OC, </w:t>
      </w:r>
      <w:proofErr w:type="spellStart"/>
      <w:r w:rsidRPr="007C767F">
        <w:rPr>
          <w:rFonts w:ascii="Times New Roman" w:eastAsia="Times New Roman" w:hAnsi="Times New Roman" w:cs="Times New Roman"/>
          <w:color w:val="000000"/>
          <w:sz w:val="24"/>
        </w:rPr>
        <w:t>dFe</w:t>
      </w:r>
      <w:proofErr w:type="spellEnd"/>
      <w:r w:rsidRPr="007C767F">
        <w:rPr>
          <w:rFonts w:ascii="Times New Roman" w:eastAsia="Times New Roman" w:hAnsi="Times New Roman" w:cs="Times New Roman"/>
          <w:color w:val="000000"/>
          <w:sz w:val="24"/>
        </w:rPr>
        <w:t>) сильнее влияют на величину подвижной фракции ТМ и приоритетнее</w:t>
      </w:r>
      <w:r w:rsidR="0074475A">
        <w:rPr>
          <w:rFonts w:ascii="Times New Roman" w:eastAsia="Times New Roman" w:hAnsi="Times New Roman" w:cs="Times New Roman"/>
          <w:color w:val="000000"/>
          <w:sz w:val="24"/>
        </w:rPr>
        <w:t>, чем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валово</w:t>
      </w:r>
      <w:r w:rsidR="0074475A">
        <w:rPr>
          <w:rFonts w:ascii="Times New Roman" w:eastAsia="Times New Roman" w:hAnsi="Times New Roman" w:cs="Times New Roman"/>
          <w:color w:val="000000"/>
          <w:sz w:val="24"/>
        </w:rPr>
        <w:t>е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содержани</w:t>
      </w:r>
      <w:r w:rsidR="00305964">
        <w:rPr>
          <w:rFonts w:ascii="Times New Roman" w:eastAsia="Times New Roman" w:hAnsi="Times New Roman" w:cs="Times New Roman"/>
          <w:color w:val="000000"/>
          <w:sz w:val="24"/>
        </w:rPr>
        <w:t>е</w:t>
      </w:r>
      <w:bookmarkStart w:id="0" w:name="_GoBack"/>
      <w:bookmarkEnd w:id="0"/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ТМ</w:t>
      </w:r>
      <w:r w:rsidR="00305964"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при нормировании. </w:t>
      </w:r>
      <w:r w:rsidR="00C004F9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C004F9" w:rsidRPr="007C767F">
        <w:rPr>
          <w:rFonts w:ascii="Times New Roman" w:eastAsia="Times New Roman" w:hAnsi="Times New Roman" w:cs="Times New Roman"/>
          <w:color w:val="000000"/>
          <w:sz w:val="24"/>
        </w:rPr>
        <w:t>иф</w:t>
      </w:r>
      <w:r w:rsidR="00C004F9">
        <w:rPr>
          <w:rFonts w:ascii="Times New Roman" w:eastAsia="Times New Roman" w:hAnsi="Times New Roman" w:cs="Times New Roman"/>
          <w:color w:val="000000"/>
          <w:sz w:val="24"/>
        </w:rPr>
        <w:t>ференцированный подход снижает «ложноположительные»</w:t>
      </w:r>
      <w:r w:rsidR="00C004F9" w:rsidRPr="007C767F">
        <w:rPr>
          <w:rFonts w:ascii="Times New Roman" w:eastAsia="Times New Roman" w:hAnsi="Times New Roman" w:cs="Times New Roman"/>
          <w:color w:val="000000"/>
          <w:sz w:val="24"/>
        </w:rPr>
        <w:t xml:space="preserve"> ограничения на 35–40</w:t>
      </w:r>
      <w:r w:rsidR="00C004F9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C004F9" w:rsidRPr="007C767F">
        <w:rPr>
          <w:rFonts w:ascii="Times New Roman" w:eastAsia="Times New Roman" w:hAnsi="Times New Roman" w:cs="Times New Roman"/>
          <w:color w:val="000000"/>
          <w:sz w:val="24"/>
        </w:rPr>
        <w:t>% территорий, высвобождая ресурсы для рекультивации критических торфяников</w:t>
      </w:r>
      <w:r w:rsidR="00C004F9">
        <w:rPr>
          <w:rFonts w:ascii="Times New Roman" w:eastAsia="Times New Roman" w:hAnsi="Times New Roman" w:cs="Times New Roman"/>
          <w:color w:val="000000"/>
          <w:sz w:val="24"/>
        </w:rPr>
        <w:t>, т. е. обоснование корректировки программы мониторинга имеет практическую значимость.</w:t>
      </w:r>
    </w:p>
    <w:sectPr w:rsidR="00C004F9" w:rsidRPr="00C004F9" w:rsidSect="003D63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E3" w:rsidRDefault="00097CE3">
      <w:pPr>
        <w:spacing w:after="0" w:line="240" w:lineRule="auto"/>
      </w:pPr>
      <w:r>
        <w:separator/>
      </w:r>
    </w:p>
  </w:endnote>
  <w:endnote w:type="continuationSeparator" w:id="0">
    <w:p w:rsidR="00097CE3" w:rsidRDefault="00097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E3" w:rsidRDefault="00097CE3">
      <w:pPr>
        <w:spacing w:after="0" w:line="240" w:lineRule="auto"/>
      </w:pPr>
      <w:r>
        <w:separator/>
      </w:r>
    </w:p>
  </w:footnote>
  <w:footnote w:type="continuationSeparator" w:id="0">
    <w:p w:rsidR="00097CE3" w:rsidRDefault="00097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A3C"/>
    <w:rsid w:val="000211D0"/>
    <w:rsid w:val="00097CE3"/>
    <w:rsid w:val="0027578C"/>
    <w:rsid w:val="002B27A3"/>
    <w:rsid w:val="00305964"/>
    <w:rsid w:val="003D63CE"/>
    <w:rsid w:val="004749AE"/>
    <w:rsid w:val="00521593"/>
    <w:rsid w:val="00550850"/>
    <w:rsid w:val="005832C4"/>
    <w:rsid w:val="00653E65"/>
    <w:rsid w:val="00741422"/>
    <w:rsid w:val="0074475A"/>
    <w:rsid w:val="007C767F"/>
    <w:rsid w:val="00802E03"/>
    <w:rsid w:val="008804BD"/>
    <w:rsid w:val="00924D35"/>
    <w:rsid w:val="009422DE"/>
    <w:rsid w:val="00A700C8"/>
    <w:rsid w:val="00BF5A3C"/>
    <w:rsid w:val="00C004F9"/>
    <w:rsid w:val="00C030A0"/>
    <w:rsid w:val="00EE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CE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D63CE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3D63CE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3D63CE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63CE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D63CE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63CE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D63CE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D63CE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D63CE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63CE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sid w:val="003D63CE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sid w:val="003D63CE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sid w:val="003D63CE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sid w:val="003D63CE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sid w:val="003D63CE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sid w:val="003D63CE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sid w:val="003D63CE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sid w:val="003D63CE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3D63C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D63C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D63C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D63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D63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D63C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D63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D63CE"/>
    <w:rPr>
      <w:i/>
    </w:rPr>
  </w:style>
  <w:style w:type="paragraph" w:styleId="a9">
    <w:name w:val="header"/>
    <w:basedOn w:val="a"/>
    <w:link w:val="aa"/>
    <w:uiPriority w:val="99"/>
    <w:unhideWhenUsed/>
    <w:rsid w:val="003D63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3D63CE"/>
  </w:style>
  <w:style w:type="paragraph" w:styleId="ab">
    <w:name w:val="footer"/>
    <w:basedOn w:val="a"/>
    <w:link w:val="ac"/>
    <w:uiPriority w:val="99"/>
    <w:unhideWhenUsed/>
    <w:rsid w:val="003D63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3D63CE"/>
  </w:style>
  <w:style w:type="paragraph" w:styleId="ad">
    <w:name w:val="caption"/>
    <w:basedOn w:val="a"/>
    <w:next w:val="a"/>
    <w:uiPriority w:val="35"/>
    <w:semiHidden/>
    <w:unhideWhenUsed/>
    <w:qFormat/>
    <w:rsid w:val="003D63CE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3D63CE"/>
  </w:style>
  <w:style w:type="table" w:styleId="ae">
    <w:name w:val="Table Grid"/>
    <w:basedOn w:val="a1"/>
    <w:uiPriority w:val="59"/>
    <w:rsid w:val="003D63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63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63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6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63C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63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3D63CE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3D63CE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3D63CE"/>
    <w:rPr>
      <w:sz w:val="18"/>
    </w:rPr>
  </w:style>
  <w:style w:type="character" w:styleId="af2">
    <w:name w:val="footnote reference"/>
    <w:uiPriority w:val="99"/>
    <w:unhideWhenUsed/>
    <w:rsid w:val="003D63C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D63CE"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sid w:val="003D63CE"/>
    <w:rPr>
      <w:sz w:val="20"/>
    </w:rPr>
  </w:style>
  <w:style w:type="character" w:styleId="af5">
    <w:name w:val="endnote reference"/>
    <w:uiPriority w:val="99"/>
    <w:semiHidden/>
    <w:unhideWhenUsed/>
    <w:rsid w:val="003D63C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D63CE"/>
    <w:pPr>
      <w:spacing w:after="57"/>
    </w:pPr>
  </w:style>
  <w:style w:type="paragraph" w:styleId="23">
    <w:name w:val="toc 2"/>
    <w:basedOn w:val="a"/>
    <w:next w:val="a"/>
    <w:uiPriority w:val="39"/>
    <w:unhideWhenUsed/>
    <w:rsid w:val="003D63C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D63C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D63C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D63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63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63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63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63CE"/>
    <w:pPr>
      <w:spacing w:after="57"/>
      <w:ind w:left="2268"/>
    </w:pPr>
  </w:style>
  <w:style w:type="paragraph" w:styleId="af6">
    <w:name w:val="TOC Heading"/>
    <w:uiPriority w:val="39"/>
    <w:unhideWhenUsed/>
    <w:rsid w:val="003D63CE"/>
  </w:style>
  <w:style w:type="paragraph" w:styleId="af7">
    <w:name w:val="table of figures"/>
    <w:basedOn w:val="a"/>
    <w:next w:val="a"/>
    <w:uiPriority w:val="99"/>
    <w:unhideWhenUsed/>
    <w:rsid w:val="003D63CE"/>
    <w:pPr>
      <w:spacing w:after="0"/>
    </w:pPr>
  </w:style>
  <w:style w:type="paragraph" w:styleId="af8">
    <w:name w:val="No Spacing"/>
    <w:basedOn w:val="a"/>
    <w:uiPriority w:val="1"/>
    <w:qFormat/>
    <w:rsid w:val="003D63CE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3D63CE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92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24D35"/>
    <w:rPr>
      <w:rFonts w:ascii="Tahoma" w:eastAsia="Liberation San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92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24D35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Илья Титанюк</cp:lastModifiedBy>
  <cp:revision>6</cp:revision>
  <cp:lastPrinted>2026-03-17T17:45:00Z</cp:lastPrinted>
  <dcterms:created xsi:type="dcterms:W3CDTF">2026-03-17T17:59:00Z</dcterms:created>
  <dcterms:modified xsi:type="dcterms:W3CDTF">2026-03-17T20:15:00Z</dcterms:modified>
</cp:coreProperties>
</file>