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0A326">
      <w:pPr>
        <w:spacing w:before="0" w:after="0" w:line="240" w:lineRule="auto"/>
        <w:jc w:val="center"/>
        <w:rPr>
          <w:rFonts w:hint="default"/>
          <w:lang w:val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>И</w:t>
      </w:r>
      <w:r>
        <w:rPr>
          <w:rFonts w:cs="Times New Roman"/>
          <w:b/>
          <w:bCs/>
          <w:i w:val="0"/>
          <w:iCs w:val="0"/>
          <w:sz w:val="24"/>
          <w:szCs w:val="24"/>
          <w:lang w:val="ru-RU"/>
        </w:rPr>
        <w:t>ннов</w:t>
      </w:r>
      <w:bookmarkStart w:id="0" w:name="_GoBack"/>
      <w:bookmarkEnd w:id="0"/>
      <w:r>
        <w:rPr>
          <w:rFonts w:cs="Times New Roman"/>
          <w:b/>
          <w:bCs/>
          <w:i w:val="0"/>
          <w:iCs w:val="0"/>
          <w:sz w:val="24"/>
          <w:szCs w:val="24"/>
          <w:lang w:val="ru-RU"/>
        </w:rPr>
        <w:t>ационные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Fonts w:cs="Times New Roman"/>
          <w:b/>
          <w:bCs/>
          <w:i w:val="0"/>
          <w:iCs w:val="0"/>
          <w:sz w:val="24"/>
          <w:szCs w:val="24"/>
          <w:lang w:val="ru-RU"/>
        </w:rPr>
        <w:t>воспитательные</w:t>
      </w:r>
      <w:r>
        <w:rPr>
          <w:rFonts w:hint="default" w:cs="Times New Roman"/>
          <w:b/>
          <w:bCs/>
          <w:i w:val="0"/>
          <w:iCs w:val="0"/>
          <w:sz w:val="24"/>
          <w:szCs w:val="24"/>
          <w:lang w:val="ru-RU"/>
        </w:rPr>
        <w:t xml:space="preserve"> практики формирования лидерского потенциала студенток в образовательной среде вуза</w:t>
      </w:r>
    </w:p>
    <w:p w14:paraId="3AE4174D">
      <w:pPr>
        <w:spacing w:before="0" w:after="0" w:line="240" w:lineRule="auto"/>
        <w:jc w:val="center"/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Зарипова Алина Рустамовна</w:t>
      </w:r>
    </w:p>
    <w:p w14:paraId="79F5604A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  <w:t>Магистрант</w:t>
      </w:r>
    </w:p>
    <w:p w14:paraId="4277B441">
      <w:pPr>
        <w:spacing w:after="0" w:line="240" w:lineRule="auto"/>
        <w:ind w:left="-340" w:right="51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Филиал Московского государственного университета имени М.В. Ломоносова </w:t>
      </w:r>
      <w:r>
        <w:rPr>
          <w:rFonts w:ascii="Times New Roman" w:hAnsi="Times New Roman" w:cs="Times New Roman"/>
          <w:i/>
          <w:iCs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iCs/>
          <w:sz w:val="24"/>
          <w:szCs w:val="24"/>
        </w:rPr>
        <w:t>в городе Ташкенте</w:t>
      </w:r>
    </w:p>
    <w:p w14:paraId="6702C56C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  <w:instrText xml:space="preserve"> HYPERLINK "mailto:alinaz-01@mail.ru" </w:instrTex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  <w:fldChar w:fldCharType="separate"/>
      </w:r>
      <w:r>
        <w:rPr>
          <w:rStyle w:val="11"/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  <w:t>alinaz-01@mail.ru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  <w:fldChar w:fldCharType="end"/>
      </w:r>
    </w:p>
    <w:p w14:paraId="3EA6436C">
      <w:pPr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</w:pPr>
    </w:p>
    <w:p w14:paraId="21C6FD27">
      <w:pPr>
        <w:spacing w:before="0" w:after="0" w:line="240" w:lineRule="auto"/>
        <w:ind w:firstLine="39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</w:rPr>
        <w:t>Современное высшее образование ориентируется не только на профессиональную подготовку, но и на развитие лидерского потенциала студенток. Несмотря на равенство возможностей, студентки продолжают сталкиваться с психологическими и социокультурными барьерами, поэтому период обучения в вузе становится ключевым для формирования лидерских качеств. В этой связи особую значимость приобретает внедрение инновационных воспитательных практик в образовательной среде вуза, направленных на развитие инициативности, субъектной позиции и получение реального лидерского опыта.</w:t>
      </w:r>
    </w:p>
    <w:p w14:paraId="23D49D01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Лидерский потенциал студентки: структура и гендерная специфика.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В научной литературе лидерский потенциал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</w:rPr>
        <w:t>студентки рассматривается как интегративное личностное образование, включающее интеллектуальные, мотивационные, эмоционально-волевые и коммуникативные ресурсы и обеспечивающее способность к конструктивному влиянию в совместной деятельности. Данный потенциал носит динамический характер и поддаётся целенаправленному педагогическому развитию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[1].</w:t>
      </w:r>
    </w:p>
    <w:p w14:paraId="235D5BEC">
      <w:pPr>
        <w:spacing w:before="0"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</w:rPr>
        <w:t>Гендерная специфика проявляется в сочетании развитой эмпатии, коммуникативности и ориентации на сотрудничество с повышенной самокритичностью и влиянием гендерных стереотипов, ограничивающих притязания студенток на лидерские роли. Феномен «стеклянного потолка» воспроизводится и в студенческой среде, в распределении инициативных и публично значимых ролей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[</w:t>
      </w:r>
      <w:r>
        <w:rPr>
          <w:rFonts w:hint="default" w:cs="Times New Roman"/>
          <w:b w:val="0"/>
          <w:bCs w:val="0"/>
          <w:i w:val="0"/>
          <w:iCs w:val="0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].</w:t>
      </w:r>
    </w:p>
    <w:p w14:paraId="1B213D72">
      <w:pPr>
        <w:spacing w:before="0" w:after="0" w:line="240" w:lineRule="auto"/>
        <w:ind w:firstLine="397"/>
        <w:jc w:val="both"/>
        <w:rPr>
          <w:rFonts w:hint="default" w:ascii="Times New Roman" w:hAnsi="Times New Roman" w:eastAsia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/>
          <w:b/>
          <w:bCs/>
          <w:i w:val="0"/>
          <w:iCs w:val="0"/>
          <w:sz w:val="24"/>
          <w:szCs w:val="24"/>
        </w:rPr>
        <w:t>Критерии инновационности воспитательных практик.</w:t>
      </w:r>
    </w:p>
    <w:p w14:paraId="16CFC52B">
      <w:pPr>
        <w:spacing w:before="0" w:after="0" w:line="240" w:lineRule="auto"/>
        <w:ind w:firstLine="39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sz w:val="24"/>
          <w:szCs w:val="24"/>
        </w:rPr>
        <w:t>Понятие «инновационная практика» нередко используется расширительно, обозначая любое новшество по форме. В педагогическом контексте формирования лидерского потенциала студенток этот термин требует содержательного уточнения. Опираясь на концепцию личностно-развивающего образования (В.В. Сериков) и теорию субъектности (С.Л. Рубинштейн), можно предложить следующий трёхмерный критерий инновационности: практика является инновационной, если она одновременно переводит студентку из позиции объекта воспитательного воздействия в позицию субъекта собственного развития; создаёт условия для получения реального, а не имитационного лидерского опыта; и учитывает гендерную специфику, то есть целенаправленно работает с теми барьерами, которые характерны именно для женской лидерской социализации. Именно этот трёхмерный критерий позволяет отграничить подлинно инновационные практики от формально новых, но содержательно традиционных форм работы.</w:t>
      </w:r>
    </w:p>
    <w:p w14:paraId="3CAC4D2B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Инновационные воспитательные практики: содержательные ориентиры.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Анализ отечественного опыта позволяет выделить несколько направлений воспитательной работы, доказавших свою эффективность в контексте развития женского лидерства [5].</w:t>
      </w:r>
    </w:p>
    <w:p w14:paraId="09C38BF9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Первое направление — практика наставничества (менторинга), реализуемая через диадические отношения студентки с более опытным субъектом: преподавателем, руководителем практики или успешной выпускницей. Наставничество строится на принципах субъект-субъектного взаимодействия, предполагает системную рефлексию лидерского опыта и позволяет корректировать неадаптивные поведенческие паттерны.</w:t>
      </w:r>
    </w:p>
    <w:p w14:paraId="06FA77CF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Второе направление — проектная и социально-предпринимательская деятельность как пространство реального лидерского опыта. Участие студенток в разработке и реализации социально значимых инициатив создаёт ситуацию подлинной ответственности за результат, за команду, за коммуникацию с внешними партнёрами.</w:t>
      </w:r>
    </w:p>
    <w:p w14:paraId="2B192916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Третье направление — студенческое самоуправление, переосмысленное как школа управленческой культуры. Подлинный воспитательный эффект достигается тогда, когда самоуправление наделено реальными полномочиями, а участие в нём не ограничивается декоративной ролью. Именно здесь студентки получают возможность освоить технологии коллективного принятия решений и публичной аргументации.</w:t>
      </w:r>
    </w:p>
    <w:p w14:paraId="651DCB8F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Четвёртое направление — специализированные программы лидерского обучения, интегрированные в образовательный процесс: тренинги эмоционального интеллекта, кейс-турниры, дискуссионные клубы, ролевые симуляции управленческих ситуаций. Критически важно, чтобы эти программы открывали студенткам возможность рефлексировать собственный стиль влияния и видеть в нём ресурс, а не ограничение.</w:t>
      </w:r>
    </w:p>
    <w:p w14:paraId="1C00D1C8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Образовательная среда как управляемая педагогическая система.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Перечисленные практики не могут быть действенными вне соответствующей среды. По мнению Т.Н. Гущиной, образовательная среда — это педагогически организованное пространство, в котором осуществляется развитие личности [6]. Применительно к нашей теме такая среда прежде всего является пространством психологической безопасности, в котором студентка вправе проявлять инициативу и публично рефлексировать собственный опыт без риска стигматизации. Далее — это среда высоких ожиданий и видимых ролевых моделей: присутствие женщин-лидеров среди преподавателей и выпускниц разрушает стереотип о недоступности высоких позиций.</w:t>
      </w:r>
    </w:p>
    <w:p w14:paraId="41E78637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Системообразующим элементом такой среды выступает согласованная позиция педагогического коллектива: воспитательные практики не могут быть эффективными, если они реализуются точечно. Требуется целостная программа развития лидерского потенциала, пронизывающая все уровни университетской жизни — от аудиторной работы до внеучебных активностей.</w:t>
      </w:r>
    </w:p>
    <w:p w14:paraId="571F8FB8">
      <w:pPr>
        <w:spacing w:before="0" w:after="0" w:line="240" w:lineRule="auto"/>
        <w:ind w:firstLine="397"/>
        <w:jc w:val="both"/>
        <w:rPr>
          <w:rFonts w:hint="default"/>
          <w:lang w:val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Заключение.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Формирование лидерского потенциала студенток — это стратегический приоритет современного вуза. Инновационные воспитательные практики — наставничество, проектная деятельность, содержательное самоуправление, лидерские программы — создают условия, при которых этот потенциал может быть методично развит. Их эффективность обеспечивается целостной педагогической средой, спроектированной с учётом гендерной специфики и ориентированной на субъектность студентки как центральную ценность воспитания.</w:t>
      </w:r>
      <w:r>
        <w:rPr>
          <w:rFonts w:hint="default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ru-RU"/>
        </w:rPr>
        <w:t>Представленные направления воспитательной работы могут рассматриваться как управленческий ресурс вуза, направленный на институционализацию поддержки женского лидерства.</w:t>
      </w:r>
    </w:p>
    <w:p w14:paraId="54E42BC2">
      <w:pPr>
        <w:spacing w:after="0" w:line="240" w:lineRule="auto"/>
        <w:ind w:right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76950">
      <w:pPr>
        <w:spacing w:after="0" w:line="240" w:lineRule="auto"/>
        <w:ind w:right="510" w:firstLine="500" w:firstLine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</w:t>
      </w:r>
    </w:p>
    <w:p w14:paraId="16C80EE8">
      <w:pPr>
        <w:spacing w:before="0" w:after="0" w:line="240" w:lineRule="auto"/>
        <w:jc w:val="left"/>
      </w:pPr>
    </w:p>
    <w:p w14:paraId="405998BF">
      <w:pPr>
        <w:spacing w:before="0" w:after="0" w:line="240" w:lineRule="auto"/>
        <w:ind w:firstLine="500" w:firstLineChars="0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1. Дрыгина И.В. Активизация лидерского потенциала личности студента в образовательном процессе вуза: дис. … канд. пед. наук. — Красноярск, 2003. — 198 с.</w:t>
      </w:r>
    </w:p>
    <w:p w14:paraId="512D83FC">
      <w:pPr>
        <w:spacing w:before="0" w:after="0" w:line="240" w:lineRule="auto"/>
        <w:ind w:firstLine="500" w:firstLineChars="0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2. Смирнова Е.В., Менлибаева С.Т. Развитие лидерского потенциала у детей // Новые научные исследования: сб. ст. III Междунар. науч.-практ. конф. — Пенза, 2021. — С. 203–205.</w:t>
      </w:r>
    </w:p>
    <w:p w14:paraId="63A1621F">
      <w:pPr>
        <w:spacing w:before="0" w:after="0" w:line="240" w:lineRule="auto"/>
        <w:ind w:firstLine="500" w:firstLineChars="0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3. Клецина И.С. Гендерная социализация: учеб. пособие. — СПб.: Изд-во РГПУ им. А.И. Герцена, 1998. — 256 с.</w:t>
      </w:r>
    </w:p>
    <w:p w14:paraId="734D868D">
      <w:pPr>
        <w:spacing w:before="0" w:after="0" w:line="240" w:lineRule="auto"/>
        <w:ind w:firstLine="500" w:firstLineChars="0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4. Клецина И.С. Самореализация личности и гендерные стереотипы // Психологические проблемы самореализации женщин. — СПб., 1998. — С. 188.</w:t>
      </w:r>
    </w:p>
    <w:p w14:paraId="5A4E4787">
      <w:pPr>
        <w:spacing w:before="0" w:after="0" w:line="240" w:lineRule="auto"/>
        <w:ind w:firstLine="500" w:firstLineChars="0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5. Гуничева Е.Л. Формирование лидерского потенциала студенческого актива // Известия РГПУ им. А.И. Герцена. — 2007. — Т. 22, № 53. — С. 25–32.</w:t>
      </w:r>
    </w:p>
    <w:p w14:paraId="26AF673F">
      <w:pPr>
        <w:spacing w:before="0" w:after="0" w:line="240" w:lineRule="auto"/>
        <w:ind w:firstLine="500" w:firstLineChars="0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6. Гущина Т.Н. Педагогическая сущность феномена «образовательная среда» // Общество. Среда. Развитие (Terra Humana). — 2011. — № 4. — С. 187–190.</w:t>
      </w:r>
    </w:p>
    <w:sectPr>
      <w:pgSz w:w="11906" w:h="16838"/>
      <w:pgMar w:top="1134" w:right="1361" w:bottom="1134" w:left="136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3D7B4BAA"/>
    <w:rsid w:val="4C17353D"/>
    <w:rsid w:val="5ED47A30"/>
    <w:rsid w:val="6D555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2">
    <w:name w:val="heading 1"/>
    <w:next w:val="1"/>
    <w:qFormat/>
    <w:uiPriority w:val="0"/>
    <w:rPr>
      <w:rFonts w:ascii="Times New Roman" w:hAnsi="Times New Roman" w:eastAsia="Times New Roman" w:cs="Times New Roman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Times New Roman" w:hAnsi="Times New Roman" w:eastAsia="Times New Roman" w:cs="Times New Roman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Times New Roman" w:hAnsi="Times New Roman" w:eastAsia="Times New Roman" w:cs="Times New Roman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Times New Roman" w:hAnsi="Times New Roman" w:eastAsia="Times New Roman" w:cs="Times New Roman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rFonts w:ascii="Times New Roman" w:hAnsi="Times New Roman" w:eastAsia="Times New Roman" w:cs="Times New Roman"/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rFonts w:ascii="Times New Roman" w:hAnsi="Times New Roman" w:eastAsia="Times New Roman" w:cs="Times New Roman"/>
      <w:color w:val="1F4D78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paragraph" w:styleId="12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">
    <w:name w:val="Title"/>
    <w:qFormat/>
    <w:uiPriority w:val="0"/>
    <w:rPr>
      <w:rFonts w:ascii="Times New Roman" w:hAnsi="Times New Roman" w:eastAsia="Times New Roman" w:cs="Times New Roman"/>
      <w:sz w:val="56"/>
      <w:szCs w:val="56"/>
    </w:rPr>
  </w:style>
  <w:style w:type="paragraph" w:styleId="14">
    <w:name w:val="List Paragraph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Footnote Text Char"/>
    <w:link w:val="12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8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2026-02-24T15:42:00Z</dcterms:created>
  <dc:creator>Un-named</dc:creator>
  <cp:lastModifiedBy>Зарипова Антони�</cp:lastModifiedBy>
  <dcterms:modified xsi:type="dcterms:W3CDTF">2026-02-25T13:20:07Z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1D086C66CAFF4930A3A665AC519AE0E4_13</vt:lpwstr>
  </property>
</Properties>
</file>