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895C9C0" w:rsidR="005B1D74" w:rsidRPr="00AB02EB" w:rsidRDefault="007F5CEA" w:rsidP="00AB02EB">
      <w:pPr>
        <w:ind w:left="-566" w:right="-502"/>
        <w:jc w:val="center"/>
        <w:rPr>
          <w:b/>
          <w:bCs/>
          <w:lang w:val="ru-RU"/>
        </w:rPr>
      </w:pPr>
      <w:r w:rsidRPr="00AB02EB">
        <w:rPr>
          <w:b/>
          <w:bCs/>
        </w:rPr>
        <w:t>ИНКЛЮЗИВНОЕ ОБРАЗОВАНИЕ В СОВРЕМЕННЫХ УСЛОВИЯХ</w:t>
      </w:r>
    </w:p>
    <w:p w14:paraId="03636A2F" w14:textId="7065474E" w:rsidR="00092F65" w:rsidRPr="00AB02EB" w:rsidRDefault="00092F65" w:rsidP="00AB02EB">
      <w:pPr>
        <w:ind w:left="-566" w:right="-502"/>
        <w:jc w:val="center"/>
        <w:rPr>
          <w:b/>
          <w:bCs/>
          <w:i/>
          <w:iCs/>
          <w:lang w:val="ru-RU"/>
        </w:rPr>
      </w:pPr>
      <w:r w:rsidRPr="00AB02EB">
        <w:rPr>
          <w:b/>
          <w:bCs/>
          <w:i/>
          <w:iCs/>
          <w:lang w:val="ru-RU"/>
        </w:rPr>
        <w:t>Бахтиярова</w:t>
      </w:r>
      <w:r w:rsidRPr="00AB02EB">
        <w:rPr>
          <w:b/>
          <w:bCs/>
          <w:i/>
          <w:iCs/>
          <w:lang w:val="ru-RU"/>
        </w:rPr>
        <w:t xml:space="preserve"> </w:t>
      </w:r>
      <w:r w:rsidRPr="00AB02EB">
        <w:rPr>
          <w:b/>
          <w:bCs/>
          <w:i/>
          <w:iCs/>
          <w:lang w:val="ru-RU"/>
        </w:rPr>
        <w:t>Камилла</w:t>
      </w:r>
      <w:r w:rsidRPr="00AB02EB">
        <w:rPr>
          <w:b/>
          <w:bCs/>
          <w:i/>
          <w:iCs/>
          <w:lang w:val="ru-RU"/>
        </w:rPr>
        <w:t xml:space="preserve"> </w:t>
      </w:r>
      <w:proofErr w:type="spellStart"/>
      <w:r w:rsidRPr="00AB02EB">
        <w:rPr>
          <w:b/>
          <w:bCs/>
          <w:i/>
          <w:iCs/>
          <w:lang w:val="ru-RU"/>
        </w:rPr>
        <w:t>Камаловна</w:t>
      </w:r>
      <w:proofErr w:type="spellEnd"/>
    </w:p>
    <w:p w14:paraId="194C045A" w14:textId="2E0350DA" w:rsidR="00092F65" w:rsidRPr="00AB02EB" w:rsidRDefault="00092F65" w:rsidP="00AB02EB">
      <w:pPr>
        <w:ind w:left="-566" w:right="-502"/>
        <w:jc w:val="center"/>
        <w:rPr>
          <w:i/>
          <w:iCs/>
          <w:lang w:val="ru-RU"/>
        </w:rPr>
      </w:pPr>
      <w:r w:rsidRPr="00AB02EB">
        <w:rPr>
          <w:i/>
          <w:iCs/>
          <w:lang w:val="ru-RU"/>
        </w:rPr>
        <w:t>Магистр</w:t>
      </w:r>
    </w:p>
    <w:p w14:paraId="7EAECF8F" w14:textId="79398159" w:rsidR="00092F65" w:rsidRPr="00AB02EB" w:rsidRDefault="00AB02EB" w:rsidP="00AB02EB">
      <w:pPr>
        <w:ind w:left="-566" w:right="-502"/>
        <w:jc w:val="center"/>
        <w:rPr>
          <w:i/>
          <w:iCs/>
          <w:lang w:val="ru-RU"/>
        </w:rPr>
      </w:pPr>
      <w:r w:rsidRPr="00AB02EB">
        <w:rPr>
          <w:i/>
          <w:iCs/>
        </w:rPr>
        <w:t xml:space="preserve">Филиал Московского государственного университета имени </w:t>
      </w:r>
      <w:proofErr w:type="spellStart"/>
      <w:r w:rsidRPr="00AB02EB">
        <w:rPr>
          <w:i/>
          <w:iCs/>
        </w:rPr>
        <w:t>М.В.Ломоносова</w:t>
      </w:r>
      <w:proofErr w:type="spellEnd"/>
      <w:r w:rsidRPr="00AB02EB">
        <w:rPr>
          <w:i/>
          <w:iCs/>
        </w:rPr>
        <w:t xml:space="preserve"> в </w:t>
      </w:r>
      <w:proofErr w:type="spellStart"/>
      <w:r w:rsidRPr="00AB02EB">
        <w:rPr>
          <w:i/>
          <w:iCs/>
        </w:rPr>
        <w:t>г.Ташкенте</w:t>
      </w:r>
      <w:proofErr w:type="spellEnd"/>
    </w:p>
    <w:p w14:paraId="46BCEB25" w14:textId="77777777" w:rsidR="00AB02EB" w:rsidRPr="00AB02EB" w:rsidRDefault="00AB02EB">
      <w:pPr>
        <w:ind w:left="-566" w:right="-502"/>
        <w:rPr>
          <w:b/>
          <w:bCs/>
          <w:lang w:val="ru-RU"/>
        </w:rPr>
      </w:pPr>
    </w:p>
    <w:p w14:paraId="00000003" w14:textId="77777777" w:rsidR="005B1D74" w:rsidRPr="00092F65" w:rsidRDefault="007F5CEA">
      <w:pPr>
        <w:ind w:left="-566" w:right="-502"/>
        <w:jc w:val="both"/>
      </w:pPr>
      <w:r w:rsidRPr="00092F65">
        <w:rPr>
          <w:b/>
          <w:bCs/>
        </w:rPr>
        <w:t xml:space="preserve">Аннотация: </w:t>
      </w:r>
      <w:r w:rsidRPr="00092F65">
        <w:t>В статье исследуется инклюзивное образование как педагогическое явление, выходящее далеко за пределы формального соблюдения стандартов доступной среды. Автор обращается к проблеме скрытых барьеров, препятствующих подлинному включению детей с особыми образовательными потребностями в общий учебный процесс. Анализируется международный опыт построения инклюзивных систем (Финляндия, Япония), рассматривается ситуация в Узбекистане. Предложена авторская концепция трёхмерной инклюзии, охватывающей физическое, дидактическое и эмоциональное измерения школьного пространства.</w:t>
      </w:r>
    </w:p>
    <w:p w14:paraId="00000004" w14:textId="2E5930AF" w:rsidR="005B1D74" w:rsidRDefault="007F5CEA">
      <w:pPr>
        <w:ind w:left="-566" w:right="-502"/>
        <w:jc w:val="both"/>
      </w:pPr>
      <w:r w:rsidRPr="00092F65">
        <w:rPr>
          <w:b/>
          <w:bCs/>
        </w:rPr>
        <w:t xml:space="preserve">Ключевые слова: </w:t>
      </w:r>
      <w:r w:rsidRPr="00092F65">
        <w:t>инклюзия</w:t>
      </w:r>
      <w:r w:rsidRPr="00092F65">
        <w:rPr>
          <w:lang w:val="ru-RU"/>
        </w:rPr>
        <w:t xml:space="preserve">, </w:t>
      </w:r>
      <w:r w:rsidRPr="00092F65">
        <w:t>образование</w:t>
      </w:r>
      <w:r w:rsidRPr="00092F65">
        <w:rPr>
          <w:lang w:val="ru-RU"/>
        </w:rPr>
        <w:t xml:space="preserve">, </w:t>
      </w:r>
      <w:r w:rsidRPr="00092F65">
        <w:t>барьеры</w:t>
      </w:r>
      <w:r w:rsidRPr="00092F65">
        <w:rPr>
          <w:lang w:val="ru-RU"/>
        </w:rPr>
        <w:t xml:space="preserve">, </w:t>
      </w:r>
      <w:proofErr w:type="spellStart"/>
      <w:r w:rsidRPr="00092F65">
        <w:t>обучени</w:t>
      </w:r>
      <w:proofErr w:type="spellEnd"/>
      <w:r w:rsidRPr="00092F65">
        <w:rPr>
          <w:lang w:val="ru-RU"/>
        </w:rPr>
        <w:t xml:space="preserve">е, </w:t>
      </w:r>
      <w:r w:rsidRPr="00092F65">
        <w:t>безопасность</w:t>
      </w:r>
      <w:r w:rsidRPr="00092F65">
        <w:rPr>
          <w:lang w:val="ru-RU"/>
        </w:rPr>
        <w:t xml:space="preserve">, </w:t>
      </w:r>
      <w:r w:rsidRPr="00092F65">
        <w:t>педагоги</w:t>
      </w:r>
      <w:r w:rsidRPr="00092F65">
        <w:rPr>
          <w:lang w:val="ru-RU"/>
        </w:rPr>
        <w:t xml:space="preserve">ка, </w:t>
      </w:r>
      <w:r w:rsidRPr="00092F65">
        <w:t>среда</w:t>
      </w:r>
      <w:r w:rsidRPr="00092F65">
        <w:rPr>
          <w:lang w:val="ru-RU"/>
        </w:rPr>
        <w:t>,</w:t>
      </w:r>
      <w:r w:rsidRPr="00092F65">
        <w:t xml:space="preserve"> </w:t>
      </w:r>
      <w:proofErr w:type="spellStart"/>
      <w:r w:rsidRPr="00092F65">
        <w:t>цифров</w:t>
      </w:r>
      <w:r w:rsidRPr="00092F65">
        <w:rPr>
          <w:lang w:val="ru-RU"/>
        </w:rPr>
        <w:t>изация</w:t>
      </w:r>
      <w:proofErr w:type="spellEnd"/>
      <w:r w:rsidRPr="00092F65">
        <w:rPr>
          <w:lang w:val="ru-RU"/>
        </w:rPr>
        <w:t xml:space="preserve">, </w:t>
      </w:r>
      <w:r w:rsidRPr="00092F65">
        <w:t>тьютор</w:t>
      </w:r>
      <w:r w:rsidRPr="00092F65">
        <w:rPr>
          <w:lang w:val="ru-RU"/>
        </w:rPr>
        <w:t>.</w:t>
      </w:r>
    </w:p>
    <w:p w14:paraId="00000005" w14:textId="3B59EBEE" w:rsidR="005B1D74" w:rsidRPr="007F5CEA" w:rsidRDefault="007F5CEA">
      <w:pPr>
        <w:ind w:left="-566" w:right="-502"/>
        <w:jc w:val="both"/>
        <w:rPr>
          <w:lang w:val="en-US"/>
        </w:rPr>
      </w:pPr>
      <w:r w:rsidRPr="007F5CEA">
        <w:rPr>
          <w:b/>
          <w:bCs/>
          <w:lang w:val="en-US"/>
        </w:rPr>
        <w:t xml:space="preserve">Abstract: </w:t>
      </w:r>
      <w:r w:rsidRPr="007F5CEA">
        <w:rPr>
          <w:lang w:val="en-US"/>
        </w:rPr>
        <w:t>The article examines inclusive education as a pedagogical phenomenon that goes far beyond formal compliance with accessibility standards. The author addresses the problem of hidden barriers preventing the genuine inclusion of children with special educational needs into the general learning process. International experience in building inclusive systems (Finland, Japan) is analyzed, and the situation in Uzbekistan is examined. The author proposes an original concept of three-dimensional inclusion encompassing the physical, didactic, and emotional dimensions of the school environment.</w:t>
      </w:r>
    </w:p>
    <w:p w14:paraId="00000006" w14:textId="77777777" w:rsidR="005B1D74" w:rsidRPr="007F5CEA" w:rsidRDefault="007F5CEA">
      <w:pPr>
        <w:ind w:left="-566" w:right="-502"/>
        <w:jc w:val="both"/>
        <w:rPr>
          <w:lang w:val="en-US"/>
        </w:rPr>
      </w:pPr>
      <w:r w:rsidRPr="007F5CEA">
        <w:rPr>
          <w:b/>
          <w:bCs/>
          <w:lang w:val="en-US"/>
        </w:rPr>
        <w:t xml:space="preserve">Keywords: </w:t>
      </w:r>
      <w:r w:rsidRPr="007F5CEA">
        <w:rPr>
          <w:lang w:val="en-US"/>
        </w:rPr>
        <w:t>inclusive education; special educational needs; barriers to inclusion; universal design for learning; emotional safety; pedagogical environment; digital accessibility; neurodiversity; tutoring support.</w:t>
      </w:r>
    </w:p>
    <w:p w14:paraId="00000007" w14:textId="77777777" w:rsidR="005B1D74" w:rsidRDefault="007F5CEA">
      <w:pPr>
        <w:ind w:left="-566" w:right="-502"/>
        <w:jc w:val="center"/>
      </w:pPr>
      <w:r>
        <w:rPr>
          <w:b/>
          <w:bCs/>
        </w:rPr>
        <w:t>Когда пандус есть, а инклюзии нет</w:t>
      </w:r>
    </w:p>
    <w:p w14:paraId="00000008" w14:textId="77777777" w:rsidR="005B1D74" w:rsidRDefault="007F5CEA">
      <w:pPr>
        <w:ind w:left="-566" w:right="-502"/>
        <w:jc w:val="both"/>
      </w:pPr>
      <w:r>
        <w:t xml:space="preserve">   Представьте школу, оснащённую по всем нормативам: пандусы у входа, лифт между этажами, тактильные дорожки в коридорах, таблички со шрифтом Брайля. Комиссия поставит галочки в листе проверки и уедет довольная. Но вот начинается урок — и ребёнок с дислексией получает задание в виде плотного мелкого текста без каких-либо альтернатив. Ученик с расстройством аутистического спектра сидит под мигающей флуоресцентной лампой в классе с постоянным фоновым шумом. Одарённый ребёнок из малообеспеченной семьи не может выполнить домашнее задание, потому что у него нет ни компьютера, ни стабильного интернета. Пандус есть. Инклюзии нет.</w:t>
      </w:r>
    </w:p>
    <w:p w14:paraId="00000009" w14:textId="4407E1C9" w:rsidR="005B1D74" w:rsidRDefault="007F5CEA">
      <w:pPr>
        <w:ind w:left="-566" w:right="-502"/>
        <w:jc w:val="both"/>
      </w:pPr>
      <w:r>
        <w:t xml:space="preserve">   Этот парадокс — один из самых острых в современной педагогике. Инклюзивное образование стало обязательным пунктом государственных программ и международных докладов, но разрыв между декларацией и реальностью по-прежнему огромен. По данным ЮНЕСКО за 2023 год, более 240 м</w:t>
      </w:r>
      <w:proofErr w:type="spellStart"/>
      <w:r>
        <w:rPr>
          <w:lang w:val="ru-RU"/>
        </w:rPr>
        <w:t>лн</w:t>
      </w:r>
      <w:proofErr w:type="spellEnd"/>
      <w:r>
        <w:rPr>
          <w:lang w:val="ru-RU"/>
        </w:rPr>
        <w:t xml:space="preserve">. </w:t>
      </w:r>
      <w:r>
        <w:t xml:space="preserve">детей с особыми образовательными потребностями в мире лишены качественного образования — не потому, что для них нет мест в школах, а потому, что сами школы не готовы к их присутствию. </w:t>
      </w:r>
    </w:p>
    <w:p w14:paraId="7E5BA66E" w14:textId="77777777" w:rsidR="007F5CEA" w:rsidRDefault="007F5CEA">
      <w:pPr>
        <w:ind w:left="-566" w:right="-502"/>
        <w:jc w:val="both"/>
      </w:pPr>
      <w:r>
        <w:t xml:space="preserve">   Первый и, пожалуй, самый влиятельный из них — устойчивые профессиональные стереотипы педагогов. Согласно исследованию А.А. Дмитриевой (2022), охватившему более тысячи учителей общеобразовательных школ, большинство из них убеждены: присутствие ребёнка с особыми потребностями в классе неизбежно тормозит работу с остальными учениками. Это убеждение не злой умысел и не равнодушие — оно складывается годами профессиональной подготовки, в которой компетенции работы с нейроразнообразием традиционно занимали в лучшем случае один факультативный курс. Учитель, внутренне не принявший идею инклюзии, воспроизводит исключение даже в формально инклюзивном классе: неосознанно снижает ожидания от «особого» ребёнка, реже обращается к нему с вопросами, реже отмечает его успехи. </w:t>
      </w:r>
    </w:p>
    <w:p w14:paraId="0000000B" w14:textId="04D8705F" w:rsidR="005B1D74" w:rsidRDefault="007F5CEA">
      <w:pPr>
        <w:ind w:left="-566" w:right="-502"/>
        <w:jc w:val="both"/>
      </w:pPr>
      <w:r>
        <w:t xml:space="preserve">   Второй невидимый барьер скрыт в самой структуре учебных программ. Большинство из них по-прежнему ориентированы на условного «среднего» ученика — с определённым темпом восприятия, конкретным типом памяти и стандартным способом обработки информации. Ребёнок, чьи когнитивные особенности отличаются от этой «нормы», оказывается перед незавидным выбором: либо тратить все силы на имитацию нейротипичности, либо отставать. Ни тот, ни другой сценарий не является педагогически состоятельным. Концепция универсального дизайна обучения, </w:t>
      </w:r>
      <w:r>
        <w:lastRenderedPageBreak/>
        <w:t xml:space="preserve">разработанная американским институтом CAST и сегодня активно внедряемая в системах образования Северной Европы и Северной Америки, предлагает принципиально иную логику: проектировать учебный процесс изначально гибким — с несколькими форматами подачи материала, разными способами выполнения заданий и вариативными формами оценивания. При этом важно подчеркнуть феномен, который исследователи называют «эффектом бордюрного пандуса»: решение, созданное для людей на инвалидных колясках, оказывается удобным для родителей с детскими колясками, велосипедистов, пожилых людей. </w:t>
      </w:r>
    </w:p>
    <w:p w14:paraId="0000000C" w14:textId="77777777" w:rsidR="005B1D74" w:rsidRDefault="007F5CEA">
      <w:pPr>
        <w:ind w:left="-566" w:right="-502"/>
        <w:jc w:val="both"/>
      </w:pPr>
      <w:r>
        <w:t xml:space="preserve">   Цифровизация образования, которую принято считать шагом к большей доступности и демократизации знания, создала собственный, совершенно новый слой невидимых барьеров. Ребёнок с нарушением зрения, которому предлагают учебную платформу без функции экранного диктора. Ребёнок с нарушением моторики, работающий с интерфейсом, не предусматривающим альтернативного управления. Ребёнок из малообеспеченной семьи без стабильного интернет-соединения и собственного устройства — все они оказываются исключены из «прогрессивного» цифрового образования так же надёжно, как прежде были исключены из школы с высоким порогом без пандуса. Это означает, что цифровая инклюзия сегодня — не опция и не тренд, а обязательная составляющая любой серьёзной инклюзивной политики.</w:t>
      </w:r>
    </w:p>
    <w:p w14:paraId="0000000D" w14:textId="77777777" w:rsidR="005B1D74" w:rsidRDefault="007F5CEA">
      <w:pPr>
        <w:ind w:left="-566" w:right="-502"/>
        <w:jc w:val="both"/>
      </w:pPr>
      <w:r>
        <w:t xml:space="preserve">   Наконец, четвёртый барьер — эмоциональный климат классной комнаты — наименее заметен снаружи и наиболее значим изнутри. </w:t>
      </w:r>
      <w:proofErr w:type="spellStart"/>
      <w:r>
        <w:t>Нейропедагогические</w:t>
      </w:r>
      <w:proofErr w:type="spellEnd"/>
      <w:r>
        <w:t xml:space="preserve"> исследования последних лет убедительно показывают: мозг не обучается в состоянии угрозы. Когда ребёнок боится насмешки, чрезмерной опеки или просто непонимания со стороны сверстников и учителя, его нервная система переходит в режим защиты — и когнитивные ресурсы, необходимые для обучения, перераспределяются на обеспечение безопасности. </w:t>
      </w:r>
    </w:p>
    <w:p w14:paraId="0000000F" w14:textId="0B4D861E" w:rsidR="005B1D74" w:rsidRDefault="007F5CEA">
      <w:pPr>
        <w:ind w:left="-566" w:right="-502"/>
        <w:jc w:val="both"/>
      </w:pPr>
      <w:r>
        <w:t xml:space="preserve">   Понимание природы невидимых барьеров меняет саму постановку вопроса об инклюзии.    Мировая практика даёт немало примеров того, как этот сдвиг может происходить на уровне целых образовательных систем. Финляндия выстроила инклюзию через профессионализм педагогов: трёхуровневая система поддержки учеников — общая, усиленная и специальная помощь — доступна каждому ребёнку без необходимости получать стигматизирующий диагноз. При этом специальный педагог в финской школе работает не только с «трудными» учениками, но и консультирует весь педагогический коллектив, встраиваясь в повседневную культуру школы. Результат говорит сам за себя: Финляндия стабильно показывает одни из наивысших образовательных результатов среди стран ОЭСР при минимальном числе учеников, выбывающих из системы.</w:t>
      </w:r>
    </w:p>
    <w:p w14:paraId="00000010" w14:textId="77777777" w:rsidR="005B1D74" w:rsidRDefault="007F5CEA">
      <w:pPr>
        <w:ind w:left="-566" w:right="-502"/>
        <w:jc w:val="both"/>
      </w:pPr>
      <w:r>
        <w:t xml:space="preserve">   Япония разработала уникальную практику совместного обучения — «</w:t>
      </w:r>
      <w:proofErr w:type="spellStart"/>
      <w:r>
        <w:t>какоми</w:t>
      </w:r>
      <w:proofErr w:type="spellEnd"/>
      <w:r>
        <w:t>», что буквально переводится как «окружить». Суть подхода в том, что одноклассники педагогически организованно становятся ресурсом взаимной поддержки для сверстника с особыми потребностями. Это не стихийная взаимопомощь и не дежурный патронаж — это специально выстроенный образовательный процесс, в котором дети учатся воспринимать различие как норму. Японские исследования фиксируют значительный рост эмпатии, навыков кооперации и толерантности у всех участников таких классов — то есть эффект работает в обе стороны.</w:t>
      </w:r>
    </w:p>
    <w:p w14:paraId="00000011" w14:textId="77777777" w:rsidR="005B1D74" w:rsidRDefault="007F5CEA">
      <w:pPr>
        <w:ind w:left="-566" w:right="-502"/>
        <w:jc w:val="both"/>
      </w:pPr>
      <w:r>
        <w:t xml:space="preserve">   Узбекистан в последние годы проходит собственный путь к системной инклюзии. Концепция развития инклюзивного образования 2020 года и обновлённый Закон «Об образовании» 2021 года законодательно закрепили право детей с особыми потребностями на обучение в общеобразовательных учреждениях. В республике последовательно реализуется программа переподготовки педагогических кадров, растёт число инклюзивных классов, развивается институт тьюторского сопровождения. </w:t>
      </w:r>
    </w:p>
    <w:p w14:paraId="00000012" w14:textId="381EF4FB" w:rsidR="005B1D74" w:rsidRDefault="007F5CEA">
      <w:pPr>
        <w:ind w:left="-566" w:right="-502"/>
        <w:jc w:val="both"/>
      </w:pPr>
      <w:r>
        <w:t xml:space="preserve">   Исследования </w:t>
      </w:r>
      <w:proofErr w:type="spellStart"/>
      <w:r>
        <w:t>Rutter</w:t>
      </w:r>
      <w:proofErr w:type="spellEnd"/>
      <w:r>
        <w:t xml:space="preserve"> и </w:t>
      </w:r>
      <w:proofErr w:type="spellStart"/>
      <w:r>
        <w:t>Maughan</w:t>
      </w:r>
      <w:proofErr w:type="spellEnd"/>
      <w:r>
        <w:t xml:space="preserve"> (2021) показывают, что грамотно организованная физическая среда снижает сенсорную перегрузку у детей с РАС на 35–40% и улучшает показатели концентрации у детей с синдромом дефицита внимания. Иными словами, правильная физическая среда — это не комфорт, а педагогический инструмент.</w:t>
      </w:r>
    </w:p>
    <w:p w14:paraId="00000013" w14:textId="77777777" w:rsidR="005B1D74" w:rsidRDefault="007F5CEA">
      <w:pPr>
        <w:ind w:left="-566" w:right="-502"/>
        <w:jc w:val="both"/>
      </w:pPr>
      <w:r>
        <w:t xml:space="preserve">   Дидактическое измерение реализуется через принципы универсального дизайна обучения. Это означает: несколько форматов представления нового материала (текст, аудио, схема, видео, </w:t>
      </w:r>
      <w:r>
        <w:lastRenderedPageBreak/>
        <w:t xml:space="preserve">практическое действие), вариативные форматы заданий, право выбирать способ демонстрации своих знаний — устно, письменно, через проект, через визуализацию. </w:t>
      </w:r>
    </w:p>
    <w:p w14:paraId="00000014" w14:textId="77777777" w:rsidR="005B1D74" w:rsidRDefault="007F5CEA">
      <w:pPr>
        <w:ind w:left="-566" w:right="-502"/>
        <w:jc w:val="both"/>
      </w:pPr>
      <w:r>
        <w:t xml:space="preserve">   Реализовать трёхмерную инклюзию в одиночку невозможно — и это, пожалуй, одно из принципиальных отличий инклюзивной школы от традиционной. Подлинная инклюзия требует командной работы: учителя, тьютора, педагога-психолога, логопеда, дефектолога, социального педагога. Причём эта команда должна не просто существовать на бумаге, а регулярно встречаться, обсуждать конкретных детей и совместно корректировать стратегии работы.</w:t>
      </w:r>
    </w:p>
    <w:p w14:paraId="00000015" w14:textId="6EFD582E" w:rsidR="005B1D74" w:rsidRDefault="007F5CEA">
      <w:pPr>
        <w:ind w:left="-566" w:right="-502"/>
        <w:jc w:val="both"/>
      </w:pPr>
      <w:r>
        <w:t xml:space="preserve">   Отдельного внимания заслуживает фигура тьютора — специалиста по индивидуальному образовательному сопровождению, ставшего ключевым элементом инклюзивной модели во многих странах мира. Тьютор — это не нянька и не дублёр учителя. Это профессионал, который помогает ребёнку выстраивать собственный образовательный маршрут, осознавать свои сильные стороны и находить пути работы с трудностями.</w:t>
      </w:r>
    </w:p>
    <w:p w14:paraId="00000016" w14:textId="082CC53D" w:rsidR="005B1D74" w:rsidRDefault="007F5CEA">
      <w:pPr>
        <w:ind w:left="-566" w:right="-502"/>
        <w:jc w:val="both"/>
      </w:pPr>
      <w:r>
        <w:t xml:space="preserve">   Не менее важен и вопрос участия семьи. В традиционной модели образования семья — это «заказчик образовательной услуги», находящийся за пределами собственно педагогического процесса. В инклюзивной модели семья — равноправный участник команды сопровождения. Родители ребёнка с особыми потребностями обладают уникальным знанием о своём ребёнке, которым не располагает ни один специалист. </w:t>
      </w:r>
    </w:p>
    <w:p w14:paraId="00000017" w14:textId="77777777" w:rsidR="005B1D74" w:rsidRDefault="007F5CEA">
      <w:pPr>
        <w:ind w:left="-566" w:right="-502"/>
        <w:jc w:val="both"/>
      </w:pPr>
      <w:r>
        <w:t xml:space="preserve">   Путь к такому образованию не быстрый и не простой. Он требует изменений на всех уровнях одновременно: в профессиональной подготовке педагогов, в архитектуре учебных программ, в организации школьного пространства, в нормативно-правовой базе, в культуре педагогических коллективов. Узбекистан, сделавший за последние годы значительные шаги в нормативном оформлении инклюзии, стоит сегодня именно перед этой задачей — задачей перехода от буквы закона к духу практики. И опыт стран, прошедших этот путь раньше, показывает: он преодолим. При одном условии — если в центре внимания системы остаётся не норматив, а ребёнок.</w:t>
      </w:r>
    </w:p>
    <w:p w14:paraId="4121036C" w14:textId="77777777" w:rsidR="00AB02EB" w:rsidRDefault="00AB02EB">
      <w:pPr>
        <w:ind w:left="-566" w:right="-502"/>
        <w:jc w:val="center"/>
        <w:rPr>
          <w:b/>
          <w:bCs/>
          <w:lang w:val="ru-RU"/>
        </w:rPr>
      </w:pPr>
    </w:p>
    <w:p w14:paraId="00000018" w14:textId="0569A664" w:rsidR="005B1D74" w:rsidRDefault="007F5CEA">
      <w:pPr>
        <w:ind w:left="-566" w:right="-502"/>
        <w:jc w:val="center"/>
      </w:pPr>
      <w:r>
        <w:rPr>
          <w:b/>
          <w:bCs/>
        </w:rPr>
        <w:t xml:space="preserve">Список литературы / </w:t>
      </w:r>
      <w:proofErr w:type="spellStart"/>
      <w:r>
        <w:rPr>
          <w:b/>
          <w:bCs/>
        </w:rPr>
        <w:t>References</w:t>
      </w:r>
      <w:proofErr w:type="spellEnd"/>
    </w:p>
    <w:p w14:paraId="00000019" w14:textId="77777777" w:rsidR="005B1D74" w:rsidRDefault="007F5CEA">
      <w:pPr>
        <w:ind w:left="-566" w:right="-502"/>
        <w:jc w:val="both"/>
      </w:pPr>
      <w:r>
        <w:t>1. Алёхина С.В. Инклюзивное образование: история и современность. — М.: Педагогический университет «Первое сентября», 2019. — 33 с.</w:t>
      </w:r>
    </w:p>
    <w:p w14:paraId="0000001A" w14:textId="77777777" w:rsidR="005B1D74" w:rsidRDefault="007F5CEA">
      <w:pPr>
        <w:ind w:left="-566" w:right="-502"/>
        <w:jc w:val="both"/>
      </w:pPr>
      <w:r>
        <w:t>2. Дмитриева А.А. Стереотипы педагогов как барьер инклюзии // Специальное образование. — 2022. — № 2. — С. 12–24.</w:t>
      </w:r>
    </w:p>
    <w:p w14:paraId="0000001B" w14:textId="77777777" w:rsidR="005B1D74" w:rsidRDefault="007F5CEA">
      <w:pPr>
        <w:ind w:left="-566" w:right="-502"/>
        <w:jc w:val="both"/>
      </w:pPr>
      <w:r>
        <w:t>3. Закон Республики Узбекистан «Об образовании». — Ташкент, 2021.</w:t>
      </w:r>
    </w:p>
    <w:p w14:paraId="0000001C" w14:textId="77777777" w:rsidR="005B1D74" w:rsidRDefault="007F5CEA">
      <w:pPr>
        <w:ind w:left="-566" w:right="-502"/>
        <w:jc w:val="both"/>
      </w:pPr>
      <w:r>
        <w:t>4. Концепция развития инклюзивного образования в Республике Узбекистан. — Ташкент, 2020.</w:t>
      </w:r>
    </w:p>
    <w:p w14:paraId="0000001D" w14:textId="77777777" w:rsidR="005B1D74" w:rsidRDefault="007F5CEA">
      <w:pPr>
        <w:ind w:left="-566" w:right="-502"/>
        <w:jc w:val="both"/>
      </w:pPr>
      <w:r>
        <w:t>5. Малофеев Н.Н. Инклюзивное образование в контексте современной социальной политики // Воспитание и обучение детей с нарушениями развития. — 2021. — № 6. — С. 3–9.</w:t>
      </w:r>
    </w:p>
    <w:p w14:paraId="0000001E" w14:textId="77777777" w:rsidR="005B1D74" w:rsidRDefault="007F5CEA">
      <w:pPr>
        <w:ind w:left="-566" w:right="-502"/>
        <w:jc w:val="both"/>
      </w:pPr>
      <w:r>
        <w:t>6. Назарова Н.М. Понятие «инклюзия» в образовании: истоки, эволюция, практический смысл // Специальное образование. — 2021. — № 1. — С. 8–17.</w:t>
      </w:r>
    </w:p>
    <w:p w14:paraId="0000001F" w14:textId="77777777" w:rsidR="005B1D74" w:rsidRPr="007F5CEA" w:rsidRDefault="007F5CEA">
      <w:pPr>
        <w:ind w:left="-566" w:right="-502"/>
        <w:jc w:val="both"/>
        <w:rPr>
          <w:lang w:val="en-US"/>
        </w:rPr>
      </w:pPr>
      <w:r w:rsidRPr="007F5CEA">
        <w:rPr>
          <w:lang w:val="en-US"/>
        </w:rPr>
        <w:t>7. CAST. Universal Design for Learning Guidelines. Version 3.0. — Wakefield, MA: CAST, 2023. — URL: https://udlguidelines.cast.org</w:t>
      </w:r>
    </w:p>
    <w:p w14:paraId="00000020" w14:textId="77777777" w:rsidR="005B1D74" w:rsidRPr="007F5CEA" w:rsidRDefault="007F5CEA">
      <w:pPr>
        <w:ind w:left="-566" w:right="-502"/>
        <w:jc w:val="both"/>
        <w:rPr>
          <w:lang w:val="en-US"/>
        </w:rPr>
      </w:pPr>
      <w:r w:rsidRPr="007F5CEA">
        <w:rPr>
          <w:lang w:val="en-US"/>
        </w:rPr>
        <w:t>8. Edmondson A. Psychological Safety and Learning Behavior in Work Teams // Administrative Science Quarterly. — 1999. — Vol. 44(2). — P. 350–383.</w:t>
      </w:r>
    </w:p>
    <w:p w14:paraId="00000021" w14:textId="77777777" w:rsidR="005B1D74" w:rsidRPr="007F5CEA" w:rsidRDefault="005B1D74">
      <w:pPr>
        <w:ind w:left="-566" w:right="-502"/>
        <w:jc w:val="both"/>
        <w:rPr>
          <w:lang w:val="en-US"/>
        </w:rPr>
      </w:pPr>
    </w:p>
    <w:sectPr w:rsidR="005B1D74" w:rsidRPr="007F5CEA">
      <w:pgSz w:w="11906" w:h="16838"/>
      <w:pgMar w:top="1134" w:right="1361" w:bottom="1134" w:left="1417" w:header="566" w:footer="56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BC41CEFA-1EE7-4A6A-9CA0-E7566A3508C4}"/>
  </w:font>
  <w:font w:name="Calibri">
    <w:panose1 w:val="020F0502020204030204"/>
    <w:charset w:val="CC"/>
    <w:family w:val="swiss"/>
    <w:pitch w:val="variable"/>
    <w:sig w:usb0="E0002AFF" w:usb1="C000247B" w:usb2="00000009" w:usb3="00000000" w:csb0="000001FF" w:csb1="00000000"/>
    <w:embedRegular r:id="rId2" w:fontKey="{99854CA9-7CDE-41DA-8D49-D8E8A23EE4E9}"/>
  </w:font>
  <w:font w:name="Cambria">
    <w:panose1 w:val="02040503050406030204"/>
    <w:charset w:val="CC"/>
    <w:family w:val="roman"/>
    <w:pitch w:val="variable"/>
    <w:sig w:usb0="E00002FF" w:usb1="400004FF" w:usb2="00000000" w:usb3="00000000" w:csb0="0000019F" w:csb1="00000000"/>
    <w:embedRegular r:id="rId3" w:fontKey="{0F5EC55B-7371-420A-BEDD-328BDAC584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D74"/>
    <w:rsid w:val="00092F65"/>
    <w:rsid w:val="005B1D74"/>
    <w:rsid w:val="007F5CEA"/>
    <w:rsid w:val="00AB02EB"/>
    <w:rsid w:val="00F40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F0A76"/>
  <w15:docId w15:val="{5CAEA5FD-3F15-4234-84F8-1E1413E87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outlineLvl w:val="0"/>
    </w:pPr>
    <w:rPr>
      <w:color w:val="2E74B5"/>
      <w:sz w:val="32"/>
      <w:szCs w:val="32"/>
    </w:rPr>
  </w:style>
  <w:style w:type="paragraph" w:styleId="2">
    <w:name w:val="heading 2"/>
    <w:basedOn w:val="a"/>
    <w:next w:val="a"/>
    <w:uiPriority w:val="9"/>
    <w:semiHidden/>
    <w:unhideWhenUsed/>
    <w:qFormat/>
    <w:pPr>
      <w:pBdr>
        <w:top w:val="nil"/>
        <w:left w:val="nil"/>
        <w:bottom w:val="nil"/>
        <w:right w:val="nil"/>
        <w:between w:val="nil"/>
      </w:pBdr>
      <w:outlineLvl w:val="1"/>
    </w:pPr>
    <w:rPr>
      <w:color w:val="2E74B5"/>
      <w:sz w:val="26"/>
      <w:szCs w:val="26"/>
    </w:rPr>
  </w:style>
  <w:style w:type="paragraph" w:styleId="3">
    <w:name w:val="heading 3"/>
    <w:basedOn w:val="a"/>
    <w:next w:val="a"/>
    <w:uiPriority w:val="9"/>
    <w:semiHidden/>
    <w:unhideWhenUsed/>
    <w:qFormat/>
    <w:pPr>
      <w:pBdr>
        <w:top w:val="nil"/>
        <w:left w:val="nil"/>
        <w:bottom w:val="nil"/>
        <w:right w:val="nil"/>
        <w:between w:val="nil"/>
      </w:pBdr>
      <w:outlineLvl w:val="2"/>
    </w:pPr>
    <w:rPr>
      <w:color w:val="1F4D78"/>
    </w:rPr>
  </w:style>
  <w:style w:type="paragraph" w:styleId="4">
    <w:name w:val="heading 4"/>
    <w:basedOn w:val="a"/>
    <w:next w:val="a"/>
    <w:uiPriority w:val="9"/>
    <w:semiHidden/>
    <w:unhideWhenUsed/>
    <w:qFormat/>
    <w:pPr>
      <w:pBdr>
        <w:top w:val="nil"/>
        <w:left w:val="nil"/>
        <w:bottom w:val="nil"/>
        <w:right w:val="nil"/>
        <w:between w:val="nil"/>
      </w:pBdr>
      <w:outlineLvl w:val="3"/>
    </w:pPr>
    <w:rPr>
      <w:i/>
      <w:iCs/>
      <w:color w:val="2E74B5"/>
    </w:rPr>
  </w:style>
  <w:style w:type="paragraph" w:styleId="5">
    <w:name w:val="heading 5"/>
    <w:basedOn w:val="a"/>
    <w:next w:val="a"/>
    <w:uiPriority w:val="9"/>
    <w:semiHidden/>
    <w:unhideWhenUsed/>
    <w:qFormat/>
    <w:pPr>
      <w:pBdr>
        <w:top w:val="nil"/>
        <w:left w:val="nil"/>
        <w:bottom w:val="nil"/>
        <w:right w:val="nil"/>
        <w:between w:val="nil"/>
      </w:pBdr>
      <w:outlineLvl w:val="4"/>
    </w:pPr>
    <w:rPr>
      <w:color w:val="2E74B5"/>
    </w:rPr>
  </w:style>
  <w:style w:type="paragraph" w:styleId="6">
    <w:name w:val="heading 6"/>
    <w:basedOn w:val="a"/>
    <w:next w:val="a"/>
    <w:uiPriority w:val="9"/>
    <w:semiHidden/>
    <w:unhideWhenUsed/>
    <w:qFormat/>
    <w:pPr>
      <w:pBdr>
        <w:top w:val="nil"/>
        <w:left w:val="nil"/>
        <w:bottom w:val="nil"/>
        <w:right w:val="nil"/>
        <w:between w:val="nil"/>
      </w:pBdr>
      <w:outlineLvl w:val="5"/>
    </w:pPr>
    <w:rPr>
      <w:color w:val="1F4D7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top w:val="nil"/>
        <w:left w:val="nil"/>
        <w:bottom w:val="nil"/>
        <w:right w:val="nil"/>
        <w:between w:val="nil"/>
      </w:pBdr>
    </w:pPr>
    <w:rPr>
      <w:color w:val="000000"/>
      <w:sz w:val="56"/>
      <w:szCs w:val="56"/>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1679</Words>
  <Characters>9574</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New</cp:lastModifiedBy>
  <cp:revision>3</cp:revision>
  <dcterms:created xsi:type="dcterms:W3CDTF">2026-03-01T09:31:00Z</dcterms:created>
  <dcterms:modified xsi:type="dcterms:W3CDTF">2026-05-14T13:01:00Z</dcterms:modified>
</cp:coreProperties>
</file>