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6E50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6"/>
          <w:rFonts w:hint="default" w:ascii="Times New Roman" w:hAnsi="Times New Roman" w:cs="Times New Roman"/>
          <w:b/>
          <w:bCs/>
          <w:sz w:val="24"/>
          <w:szCs w:val="24"/>
        </w:rPr>
        <w:t>Индивидуализация обучения через геймификацию: опыт начальной школы в условиях образовательных реформ Китая</w:t>
      </w:r>
    </w:p>
    <w:p w14:paraId="457220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97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Ян Цзиньюе</w:t>
      </w:r>
    </w:p>
    <w:p w14:paraId="0667BA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магистрант</w:t>
      </w:r>
    </w:p>
    <w:p w14:paraId="22F7B8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 Москва, Россия</w:t>
      </w:r>
    </w:p>
    <w:p w14:paraId="736AF1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E–mail: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abaiadai@163.com</w:t>
      </w:r>
    </w:p>
    <w:p w14:paraId="30CC2BC9">
      <w:pPr>
        <w:bidi w:val="0"/>
      </w:pPr>
      <w:r>
        <w:rPr>
          <w:rFonts w:hint="default"/>
        </w:rPr>
        <w:t>Современный этап развития Китая характеризуется сменой образовательной парадигмы. Политика «двойного сокращения» и переход к концепции качественного развития личности свидетельствуют о кризисе традиционной экзаменационно-ориентированной модели. В контексте этих преобразований особую значимость приобретает индивидуализация образовательного процесса, понимаемая как ориентация на уникальные потребности, способности и темп развития каждого ребёнка. Ответом на этот социальный запрос становится геймификация [</w:t>
      </w:r>
      <w:r>
        <w:rPr>
          <w:rFonts w:hint="eastAsia" w:eastAsia="宋体"/>
          <w:lang w:val="en-US" w:eastAsia="zh-CN"/>
        </w:rPr>
        <w:t>3</w:t>
      </w:r>
      <w:r>
        <w:rPr>
          <w:rFonts w:hint="default"/>
        </w:rPr>
        <w:t>].</w:t>
      </w:r>
    </w:p>
    <w:p w14:paraId="640163C8">
      <w:pPr>
        <w:bidi w:val="0"/>
        <w:rPr>
          <w:rFonts w:hint="default"/>
        </w:rPr>
      </w:pPr>
      <w:r>
        <w:rPr>
          <w:rFonts w:hint="default"/>
        </w:rPr>
        <w:t>Социальные изменения ориентируют педагогов на принцип «человек в центре» [</w:t>
      </w:r>
      <w:r>
        <w:rPr>
          <w:rFonts w:hint="eastAsia" w:eastAsia="宋体"/>
          <w:lang w:val="en-US" w:eastAsia="zh-CN"/>
        </w:rPr>
        <w:t>3</w:t>
      </w:r>
      <w:r>
        <w:rPr>
          <w:rFonts w:hint="default"/>
        </w:rPr>
        <w:t>]. Реформа системы оценки и политика «двойного сокращения» формируют новую модель образования, нацеленную на снижение нагрузки и повышение эффективности [</w:t>
      </w:r>
      <w:r>
        <w:rPr>
          <w:rFonts w:hint="eastAsia" w:eastAsia="宋体"/>
          <w:lang w:val="en-US" w:eastAsia="zh-CN"/>
        </w:rPr>
        <w:t>1</w:t>
      </w:r>
      <w:r>
        <w:rPr>
          <w:rFonts w:hint="default"/>
        </w:rPr>
        <w:t>]. Геймификация глубоко укоренена в китайской педагогической традиции: от концепции «радости учения» Конфуция, заложившей философский фундамент единства познания и эмоционального переживания, до идей Чэнь Хэциня о природной склонности детей к игре [</w:t>
      </w:r>
      <w:r>
        <w:rPr>
          <w:rFonts w:hint="eastAsia" w:eastAsia="宋体"/>
          <w:lang w:val="en-US" w:eastAsia="zh-CN"/>
        </w:rPr>
        <w:t>4</w:t>
      </w:r>
      <w:r>
        <w:rPr>
          <w:rFonts w:hint="default"/>
        </w:rPr>
        <w:t>]. В современной науке геймификация определяется как использование элементов игрового дизайна в неигровых контекстах для вовлечения участников в решение задач [</w:t>
      </w:r>
      <w:r>
        <w:rPr>
          <w:rFonts w:hint="eastAsia" w:eastAsia="宋体"/>
          <w:lang w:val="en-US" w:eastAsia="zh-CN"/>
        </w:rPr>
        <w:t>5</w:t>
      </w:r>
      <w:r>
        <w:rPr>
          <w:rFonts w:hint="default"/>
        </w:rPr>
        <w:t>]. Игровые механики позволяют создавать индивидуальные образовательные траектории: ученик может выбирать уровень сложности, темп прохождения заданий и способы взаимодействия с материалом. Для детей 6–12 лет этот подход создаёт условия для персонализации обучения, поскольку мультимодальная стимуляция и мгновенная обратная связь соответствуют их познавательным потребностям [</w:t>
      </w:r>
      <w:r>
        <w:rPr>
          <w:rFonts w:hint="eastAsia" w:eastAsia="宋体"/>
          <w:lang w:val="en-US" w:eastAsia="zh-CN"/>
        </w:rPr>
        <w:t>2</w:t>
      </w:r>
      <w:r>
        <w:rPr>
          <w:rFonts w:hint="default"/>
        </w:rPr>
        <w:t>].</w:t>
      </w:r>
    </w:p>
    <w:p w14:paraId="6BC2D588">
      <w:pPr>
        <w:bidi w:val="0"/>
        <w:rPr>
          <w:rFonts w:hint="default"/>
        </w:rPr>
      </w:pPr>
      <w:r>
        <w:rPr>
          <w:rFonts w:hint="default"/>
        </w:rPr>
        <w:t>Гуманистический потенциал игровых технологий раскрывается через систему педагогических принципов, делающих обучение личностно-ориентированным: целенаправленность (дизайн игры должен соответствовать образовательным целям), увлекательность (стимулирование интереса), персонализация и дифференциация (учёт индивидуальных различий), баланс сотрудничества и конкуренции, связь с реальной жизнью. Данные принципы согласуются с фундаментальными принципами обучения в начальной школе, образуя единую методологическую основу современного гуманистически ориентированного образования.</w:t>
      </w:r>
    </w:p>
    <w:p w14:paraId="6B7D590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В системе начального образования Китая широко применяются инновационные методы: проектное и исследовательское обучение, микрокурсы, «перевёрнутый класс». Интеграция геймификации усиливает их персонализирующий потенциал. Передовые школы демонстрируют успешные модели: в школе Тяньцзяо (Шэньчжэнь) на уроках английского используется модель «G-Padagogy Wheel» с планшетами и ролевыми играми, развивающая индивидуальные речевые стратегии</w:t>
      </w:r>
      <w:r>
        <w:rPr>
          <w:rFonts w:hint="eastAsia"/>
          <w:lang w:val="en-US" w:eastAsia="zh-CN"/>
        </w:rPr>
        <w:t>[6]</w:t>
      </w:r>
      <w:r>
        <w:rPr>
          <w:rFonts w:hint="default"/>
          <w:lang w:val="en-US" w:eastAsia="zh-CN"/>
        </w:rPr>
        <w:t xml:space="preserve"> .</w:t>
      </w:r>
    </w:p>
    <w:p w14:paraId="5D83B7E8">
      <w:pPr>
        <w:bidi w:val="0"/>
        <w:rPr>
          <w:rFonts w:hint="default"/>
          <w:lang w:val="en-US" w:eastAsia="zh-CN"/>
        </w:rPr>
      </w:pPr>
      <w:r>
        <w:rPr>
          <w:rFonts w:hint="default"/>
        </w:rPr>
        <w:t>Для выявления реального состояния индивидуализации обучения через геймификацию было проведено эмпирическое исследование. Анализ данных анкетирования 86 учителей начальных классов из различных регионов Китая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показывает, что педагоги признают ценность геймификации: 90,7% отмечают рост вовлечённости, 88,4% — интереса, 58,1% — социальных навыков. Однако лишь треть учителей воспринимают её как изменение методики, а не набор внешних мотиваторов. Наблюдаются региональные диспропорции: в развитых регионах активнее используют цифровые инструменты (68,2%) и ситуационное моделирование (62,1%), в отстающих преобладают базовые соревновательные элементы. Дефицит времени и ресурсов испытывают 72,1% респондентов, профильное обучение прошли лишь 27,9%. Это указывает на разрыв между потенциалом геймификации и реальной практикой.</w:t>
      </w:r>
    </w:p>
    <w:p w14:paraId="4A31C7A0">
      <w:pPr>
        <w:bidi w:val="0"/>
        <w:rPr>
          <w:rFonts w:hint="default"/>
        </w:rPr>
      </w:pPr>
      <w:r>
        <w:rPr>
          <w:rFonts w:hint="default"/>
        </w:rPr>
        <w:t>Преодоление выявленных противоречий требует создания комплекса организационно-педагогических условий. Прежде всего, это целевая и содержательная валидность, предполагающая строгое соответствие игровых механик дидактическим задачам. Вторым условием выступает профессионально-личностная готовность педагога: учитель должен овладеть методологией педагогического дизайна, позволяющей проектировать индивидуальные траектории. Третье условие — ресурсно-технологическая обеспеченность и сетевое взаимодействие, позволяющие выравнивать цифровой разрыв между регионами через обмен персонализированными сценариями. Четвёртое условие — социальное партнёрство «школа – семья – общество», направленное на преодоление родительских предубеждений. Пятое условие — научно-методическое сопровождение и развитие профессионального сообщества для коллективного проектирования и тиражирования эффективных практик.</w:t>
      </w:r>
    </w:p>
    <w:p w14:paraId="7F1AAE02">
      <w:pPr>
        <w:bidi w:val="0"/>
        <w:rPr>
          <w:rFonts w:hint="default"/>
        </w:rPr>
      </w:pPr>
      <w:r>
        <w:rPr>
          <w:rFonts w:hint="default"/>
        </w:rPr>
        <w:t>Проведённое исследование показывает, что в условиях современных социокультурных трансформаций в Китае геймификация выступает действенным инструментом персонализации начального образования. Её гуманистический потенциал, укоренённый в национальной педагогической традиции и подтверждённый современными исследованиями, позволяет смещать фокус с унифицированного академического давления на внутреннюю мотивацию и развитие личности ребёнка. Однако реализация этого потенциала требует системного подхода: от признания ценности индивидуализации на уровне государственной политики до создания конкретных педагогических условий в каждой школе. Только при таком комплексном подходе геймификация может стать органичной частью образовательного процесса, способствуя раскрытию уникальных способностей каждого младшего школьника.</w:t>
      </w:r>
    </w:p>
    <w:p w14:paraId="23490990">
      <w:pPr>
        <w:bidi w:val="0"/>
        <w:ind w:left="0" w:leftChars="0" w:firstLine="0" w:firstLineChars="0"/>
        <w:rPr>
          <w:rFonts w:hint="default"/>
          <w:b/>
          <w:bCs/>
        </w:rPr>
      </w:pPr>
      <w:r>
        <w:rPr>
          <w:rFonts w:hint="default"/>
          <w:b/>
          <w:bCs/>
        </w:rPr>
        <w:t>Литература</w:t>
      </w:r>
    </w:p>
    <w:p w14:paraId="78348EBC">
      <w:pPr>
        <w:numPr>
          <w:ilvl w:val="0"/>
          <w:numId w:val="1"/>
        </w:numPr>
        <w:bidi w:val="0"/>
      </w:pPr>
      <w:r>
        <w:t>Министерство образования КНР. Статистический отчет о реализации политики «двойного сокращения» и внеклассном обслуживании (2024 г.) / Министерство образования КНР. – Пекин, 2024.</w:t>
      </w:r>
    </w:p>
    <w:p w14:paraId="0C53FB7C">
      <w:pPr>
        <w:numPr>
          <w:ilvl w:val="0"/>
          <w:numId w:val="1"/>
        </w:numPr>
        <w:bidi w:val="0"/>
      </w:pPr>
      <w:r>
        <w:t>Белясина Л. Ю. Геймификация учебного процесса по дисциплине «Информатика» : магистерская диссертация / Л. Ю. Белясина. – Красноярск, 2024. – 71 с.</w:t>
      </w:r>
    </w:p>
    <w:p w14:paraId="5186A99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294"/>
        <w:jc w:val="left"/>
      </w:pPr>
      <w:r>
        <w:t xml:space="preserve">ЦК КПК, Госсовет КНР. План строительства сильной образовательной державы (2024–2035) : стратегический государственный документ / ЦК КПК. – Пекин, 2024. – URL: </w:t>
      </w:r>
      <w:r>
        <w:fldChar w:fldCharType="begin"/>
      </w:r>
      <w:r>
        <w:instrText xml:space="preserve"> HYPERLINK "https://www.gov.cn/zhengce/202501/content_6999913.htm" \t "_Blank" </w:instrText>
      </w:r>
      <w:r>
        <w:fldChar w:fldCharType="separate"/>
      </w:r>
      <w:r>
        <w:rPr>
          <w:rStyle w:val="7"/>
        </w:rPr>
        <w:t>https://www.gov.cn/zhengce/202501/content_6999913.htm</w:t>
      </w:r>
      <w:r>
        <w:fldChar w:fldCharType="end"/>
      </w:r>
      <w:r>
        <w:t xml:space="preserve"> (дата обращения: 25.02.2026).</w:t>
      </w:r>
    </w:p>
    <w:p w14:paraId="72624A6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294"/>
        <w:jc w:val="left"/>
      </w:pPr>
      <w:r>
        <w:t>Чжу Шимин. Преподавание и обучение в условиях геймифицированной среды / Чжу Шимин, Ван Тянь // Современные образовательные технологии. – 2017. – Т. 27, № 6. – С. 25–30.</w:t>
      </w:r>
    </w:p>
    <w:p w14:paraId="2CD6D8C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294"/>
        <w:jc w:val="left"/>
      </w:pPr>
      <w:r>
        <w:t>Salen K. Rules of Play: Game Design Fundamentals / K. Salen, E. Zimmerman. – Cambridge, MA : The MIT Press, 2004. – 672 p.</w:t>
      </w:r>
    </w:p>
    <w:p w14:paraId="4983D94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294"/>
        <w:jc w:val="left"/>
        <w:rPr>
          <w:rFonts w:hint="eastAsia"/>
          <w:lang w:eastAsia="zh-CN"/>
        </w:rPr>
      </w:pPr>
      <w:r>
        <w:fldChar w:fldCharType="begin"/>
      </w:r>
      <w:r>
        <w:instrText xml:space="preserve"> HYPERLINK "https://sohu.com/" \t "_Blank" </w:instrText>
      </w:r>
      <w:r>
        <w:fldChar w:fldCharType="separate"/>
      </w:r>
      <w:r>
        <w:rPr>
          <w:rStyle w:val="7"/>
        </w:rPr>
        <w:t>Sohu.com</w:t>
      </w:r>
      <w:r>
        <w:fldChar w:fldCharType="end"/>
      </w:r>
      <w:r>
        <w:t>. Практика игрового обучения математике в начальных школах провинции Чжэцзян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HYPERLINK "https://www.sohu.com/a/814135107_121118942" \t "_Blank" </w:instrText>
      </w:r>
      <w:r>
        <w:rPr>
          <w:lang w:val="en-US" w:eastAsia="zh-CN"/>
        </w:rPr>
        <w:fldChar w:fldCharType="separate"/>
      </w:r>
      <w:r>
        <w:t>https://www.sohu.com/a/814135107_121118942</w:t>
      </w:r>
      <w:r>
        <w:rPr>
          <w:lang w:val="en-US" w:eastAsia="zh-CN"/>
        </w:rPr>
        <w:fldChar w:fldCharType="end"/>
      </w: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0F1AD"/>
    <w:multiLevelType w:val="multilevel"/>
    <w:tmpl w:val="6C50F1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32A"/>
    <w:rsid w:val="06895B8C"/>
    <w:rsid w:val="0E7D632A"/>
    <w:rsid w:val="16E50447"/>
    <w:rsid w:val="20235AFF"/>
    <w:rsid w:val="4154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397"/>
      <w:jc w:val="both"/>
    </w:pPr>
    <w:rPr>
      <w:rFonts w:ascii="Times New Roman" w:hAnsi="Times New Roman" w:eastAsia="Times New Roman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spacing w:beforeAutospacing="0" w:afterAutospacing="0"/>
      <w:ind w:firstLine="0"/>
      <w:jc w:val="left"/>
      <w:outlineLvl w:val="2"/>
    </w:pPr>
    <w:rPr>
      <w:rFonts w:ascii="Times New Roman" w:hAnsi="Times New Roman" w:eastAsia="Times New Roman" w:cs="宋体"/>
      <w:b/>
      <w:bCs/>
      <w:kern w:val="0"/>
      <w:sz w:val="28"/>
      <w:szCs w:val="27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Times New Roman" w:cs="宋体"/>
      <w:b/>
      <w:bCs/>
      <w:kern w:val="0"/>
      <w:sz w:val="28"/>
      <w:szCs w:val="27"/>
      <w:lang w:bidi="ar"/>
    </w:rPr>
  </w:style>
  <w:style w:type="paragraph" w:customStyle="1" w:styleId="9">
    <w:name w:val="表格"/>
    <w:basedOn w:val="1"/>
    <w:qFormat/>
    <w:uiPriority w:val="0"/>
    <w:pPr>
      <w:spacing w:line="360" w:lineRule="auto"/>
      <w:ind w:firstLine="0"/>
    </w:pPr>
    <w:rPr>
      <w:rFonts w:ascii="Times New Roman" w:hAnsi="Times New Roman" w:eastAsia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中国铝业集团有限公司其他</Company>
  <Pages>2</Pages>
  <Words>709</Words>
  <Characters>5619</Characters>
  <Lines>0</Lines>
  <Paragraphs>0</Paragraphs>
  <TotalTime>66</TotalTime>
  <ScaleCrop>false</ScaleCrop>
  <LinksUpToDate>false</LinksUpToDate>
  <CharactersWithSpaces>6309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2026-03-09T19:37:00Z</dcterms:created>
  <dc:creator>杨瑾玥</dc:creator>
  <cp:lastModifiedBy>杨瑾玥</cp:lastModifiedBy>
  <dcterms:modified xsi:type="dcterms:W3CDTF">2026-03-09T20:47:44Z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9CFB3A3993E54B22B55DB37D5A869CE3_11</vt:lpwstr>
  </property>
  <property fmtid="{D5CDD505-2E9C-101B-9397-08002B2CF9AE}" pid="4" name="KSOTemplateDocerSaveRecord">
    <vt:lpwstr>eyJoZGlkIjoiMzEwNTM5NzYwMDRjMzkwZTVkZjY2ODkwMGIxNGU0OTUiLCJ1c2VySWQiOiIyMzE5NTIxMjIifQ==</vt:lpwstr>
  </property>
</Properties>
</file>