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316FF" w14:textId="77777777" w:rsidR="001D1CF1" w:rsidRPr="00BB5D3B" w:rsidRDefault="00530667" w:rsidP="00E85EE2">
      <w:pPr>
        <w:spacing w:after="0" w:line="240" w:lineRule="auto"/>
        <w:ind w:firstLine="397"/>
        <w:jc w:val="center"/>
        <w:rPr>
          <w:lang w:val="ru-RU"/>
        </w:rPr>
      </w:pPr>
      <w:r w:rsidRPr="00BB5D3B">
        <w:rPr>
          <w:b/>
          <w:lang w:val="ru-RU"/>
        </w:rPr>
        <w:t>Генеративные нейросети в художественном образовании: позиция современного педагога</w:t>
      </w:r>
    </w:p>
    <w:p w14:paraId="53F6275A" w14:textId="77777777" w:rsidR="001D1CF1" w:rsidRPr="00BB5D3B" w:rsidRDefault="00530667" w:rsidP="00E85EE2">
      <w:pPr>
        <w:spacing w:after="0" w:line="240" w:lineRule="auto"/>
        <w:ind w:firstLine="397"/>
        <w:jc w:val="center"/>
        <w:rPr>
          <w:lang w:val="ru-RU"/>
        </w:rPr>
      </w:pPr>
      <w:r w:rsidRPr="00BB5D3B">
        <w:rPr>
          <w:b/>
          <w:i/>
          <w:lang w:val="ru-RU"/>
        </w:rPr>
        <w:t>Богомолова А.А.</w:t>
      </w:r>
    </w:p>
    <w:p w14:paraId="2550850F" w14:textId="77777777" w:rsidR="001D1CF1" w:rsidRPr="00BB5D3B" w:rsidRDefault="00530667" w:rsidP="00E85EE2">
      <w:pPr>
        <w:spacing w:after="0" w:line="240" w:lineRule="auto"/>
        <w:ind w:firstLine="397"/>
        <w:jc w:val="center"/>
        <w:rPr>
          <w:lang w:val="ru-RU"/>
        </w:rPr>
      </w:pPr>
      <w:r w:rsidRPr="00BB5D3B">
        <w:rPr>
          <w:i/>
          <w:lang w:val="ru-RU"/>
        </w:rPr>
        <w:t>Студент магистратуры</w:t>
      </w:r>
    </w:p>
    <w:p w14:paraId="1D0D505E" w14:textId="77777777" w:rsidR="001D1CF1" w:rsidRPr="00E85EE2" w:rsidRDefault="00530667" w:rsidP="00E85EE2">
      <w:pPr>
        <w:spacing w:after="0" w:line="240" w:lineRule="auto"/>
        <w:ind w:firstLine="397"/>
        <w:jc w:val="center"/>
        <w:rPr>
          <w:lang w:val="ru-RU"/>
        </w:rPr>
      </w:pPr>
      <w:r w:rsidRPr="00BB5D3B">
        <w:rPr>
          <w:i/>
          <w:lang w:val="ru-RU"/>
        </w:rPr>
        <w:t>Московский государственный педагогический университет, художественно-графический факультет, Москва, Россия</w:t>
      </w:r>
    </w:p>
    <w:p w14:paraId="22D0D74E" w14:textId="53344DBB" w:rsidR="001D1CF1" w:rsidRDefault="00E85EE2" w:rsidP="00E85EE2">
      <w:pPr>
        <w:spacing w:after="0" w:line="240" w:lineRule="auto"/>
        <w:ind w:firstLine="397"/>
        <w:jc w:val="center"/>
        <w:rPr>
          <w:i/>
        </w:rPr>
      </w:pPr>
      <w:r w:rsidRPr="00E85EE2">
        <w:rPr>
          <w:i/>
        </w:rPr>
        <w:t>E–mail</w:t>
      </w:r>
      <w:r w:rsidR="00530667" w:rsidRPr="00BB5D3B">
        <w:rPr>
          <w:i/>
          <w:lang w:val="ru-RU"/>
        </w:rPr>
        <w:t xml:space="preserve">: </w:t>
      </w:r>
      <w:hyperlink r:id="rId6" w:history="1">
        <w:r w:rsidR="009C4ED3" w:rsidRPr="00B3001D">
          <w:rPr>
            <w:rStyle w:val="afff"/>
            <w:i/>
          </w:rPr>
          <w:t>anastasiamorozova</w:t>
        </w:r>
        <w:r w:rsidR="009C4ED3" w:rsidRPr="00B3001D">
          <w:rPr>
            <w:rStyle w:val="afff"/>
            <w:i/>
            <w:lang w:val="ru-RU"/>
          </w:rPr>
          <w:t>05064@</w:t>
        </w:r>
        <w:r w:rsidR="009C4ED3" w:rsidRPr="00B3001D">
          <w:rPr>
            <w:rStyle w:val="afff"/>
            <w:i/>
          </w:rPr>
          <w:t>gmail</w:t>
        </w:r>
        <w:r w:rsidR="009C4ED3" w:rsidRPr="00B3001D">
          <w:rPr>
            <w:rStyle w:val="afff"/>
            <w:i/>
            <w:lang w:val="ru-RU"/>
          </w:rPr>
          <w:t>.</w:t>
        </w:r>
        <w:r w:rsidR="009C4ED3" w:rsidRPr="00B3001D">
          <w:rPr>
            <w:rStyle w:val="afff"/>
            <w:i/>
          </w:rPr>
          <w:t>com</w:t>
        </w:r>
      </w:hyperlink>
    </w:p>
    <w:p w14:paraId="4C0EE56C" w14:textId="77777777" w:rsidR="009C4ED3" w:rsidRPr="00BB5D3B" w:rsidRDefault="009C4ED3" w:rsidP="00E85EE2">
      <w:pPr>
        <w:spacing w:after="0" w:line="240" w:lineRule="auto"/>
        <w:ind w:firstLine="397"/>
        <w:jc w:val="center"/>
        <w:rPr>
          <w:lang w:val="ru-RU"/>
        </w:rPr>
      </w:pPr>
    </w:p>
    <w:p w14:paraId="65CFEFD2" w14:textId="4E704B57" w:rsidR="00610B96" w:rsidRPr="00D11D5D" w:rsidRDefault="00610B96" w:rsidP="00E85EE2">
      <w:pPr>
        <w:spacing w:after="0" w:line="240" w:lineRule="auto"/>
        <w:ind w:firstLine="397"/>
        <w:jc w:val="both"/>
        <w:rPr>
          <w:lang w:val="ru-RU"/>
        </w:rPr>
      </w:pPr>
      <w:r w:rsidRPr="00610B96">
        <w:rPr>
          <w:lang w:val="ru-RU"/>
        </w:rPr>
        <w:t xml:space="preserve">В последние годы генеративные нейросети становятся значимым фактором трансформации визуальной культуры и художественного образования. Исследователи отмечают, что искусственный интеллект активно внедряется в креативные практики и меняет характер взаимодействия автора и цифровой среды </w:t>
      </w:r>
      <w:r w:rsidRPr="000A403D">
        <w:rPr>
          <w:lang w:val="ru-RU"/>
        </w:rPr>
        <w:t xml:space="preserve">[3, </w:t>
      </w:r>
      <w:r w:rsidR="000A403D" w:rsidRPr="000A403D">
        <w:rPr>
          <w:lang w:val="ru-RU"/>
        </w:rPr>
        <w:t>4</w:t>
      </w:r>
      <w:r w:rsidRPr="000A403D">
        <w:rPr>
          <w:lang w:val="ru-RU"/>
        </w:rPr>
        <w:t>].</w:t>
      </w:r>
      <w:r w:rsidRPr="00610B96">
        <w:rPr>
          <w:lang w:val="ru-RU"/>
        </w:rPr>
        <w:t xml:space="preserve"> В педагогике фиксируется разрыв между технологическими возможностями и методическим осмыслением их применения в образовательном процессе, что соотносится с положениями теории педагогических </w:t>
      </w:r>
      <w:r w:rsidRPr="000A403D">
        <w:rPr>
          <w:lang w:val="ru-RU"/>
        </w:rPr>
        <w:t>технологий [1,</w:t>
      </w:r>
      <w:r w:rsidR="00E85EE2">
        <w:rPr>
          <w:lang w:val="ru-RU"/>
        </w:rPr>
        <w:t xml:space="preserve"> </w:t>
      </w:r>
      <w:r w:rsidRPr="000A403D">
        <w:rPr>
          <w:lang w:val="ru-RU"/>
        </w:rPr>
        <w:t>2,</w:t>
      </w:r>
      <w:r w:rsidR="00E85EE2">
        <w:rPr>
          <w:lang w:val="ru-RU"/>
        </w:rPr>
        <w:t xml:space="preserve"> </w:t>
      </w:r>
      <w:r w:rsidR="000A403D" w:rsidRPr="000A403D">
        <w:rPr>
          <w:lang w:val="ru-RU"/>
        </w:rPr>
        <w:t>5</w:t>
      </w:r>
      <w:r w:rsidRPr="000A403D">
        <w:rPr>
          <w:lang w:val="ru-RU"/>
        </w:rPr>
        <w:t>].</w:t>
      </w:r>
      <w:r w:rsidR="00D11D5D">
        <w:rPr>
          <w:lang w:val="ru-RU"/>
        </w:rPr>
        <w:t xml:space="preserve"> </w:t>
      </w:r>
      <w:r w:rsidR="00D11D5D" w:rsidRPr="00D11D5D">
        <w:rPr>
          <w:lang w:val="ru-RU"/>
        </w:rPr>
        <w:t xml:space="preserve">Это соответствует положениям В.П. Беспалько о необходимости технологической проработки педагогического инструмента до его системного </w:t>
      </w:r>
      <w:r w:rsidR="00D11D5D" w:rsidRPr="000A403D">
        <w:rPr>
          <w:lang w:val="ru-RU"/>
        </w:rPr>
        <w:t>внедрения</w:t>
      </w:r>
      <w:r w:rsidR="00572DB2" w:rsidRPr="000A403D">
        <w:rPr>
          <w:lang w:val="ru-RU"/>
        </w:rPr>
        <w:t xml:space="preserve"> [</w:t>
      </w:r>
      <w:r w:rsidR="000A403D" w:rsidRPr="000A403D">
        <w:rPr>
          <w:lang w:val="ru-RU"/>
        </w:rPr>
        <w:t>1</w:t>
      </w:r>
      <w:r w:rsidR="00572DB2" w:rsidRPr="000A403D">
        <w:rPr>
          <w:lang w:val="ru-RU"/>
        </w:rPr>
        <w:t>]</w:t>
      </w:r>
      <w:r w:rsidR="00D11D5D" w:rsidRPr="000A403D">
        <w:rPr>
          <w:lang w:val="ru-RU"/>
        </w:rPr>
        <w:t>.</w:t>
      </w:r>
    </w:p>
    <w:p w14:paraId="3644DDC9" w14:textId="77777777" w:rsidR="00F55286" w:rsidRDefault="00F55286" w:rsidP="00E85EE2">
      <w:pPr>
        <w:spacing w:after="0" w:line="240" w:lineRule="auto"/>
        <w:ind w:firstLine="397"/>
        <w:jc w:val="both"/>
        <w:rPr>
          <w:lang w:val="ru-RU"/>
        </w:rPr>
      </w:pPr>
      <w:r w:rsidRPr="00F55286">
        <w:rPr>
          <w:lang w:val="ru-RU"/>
        </w:rPr>
        <w:t>Генеративные системы становятся частью повседневной творческой практики: художники и обучающиеся используют их для создания изображений и поиска идей. Однако в художественном образовании отсутствует единая педагогическая позиция и нормативные регламенты их применения, что приводит к неоднородности практик.</w:t>
      </w:r>
    </w:p>
    <w:p w14:paraId="12D1F556" w14:textId="5C9409B2" w:rsidR="00610B96" w:rsidRDefault="00610B96" w:rsidP="00E85EE2">
      <w:pPr>
        <w:spacing w:after="0" w:line="240" w:lineRule="auto"/>
        <w:ind w:firstLine="397"/>
        <w:jc w:val="both"/>
        <w:rPr>
          <w:lang w:val="ru-RU"/>
        </w:rPr>
      </w:pPr>
      <w:r w:rsidRPr="00610B96">
        <w:rPr>
          <w:lang w:val="ru-RU"/>
        </w:rPr>
        <w:t>В результате формируется расхождение между личным опытом работы с нейросетями и их включением в образовательный процесс. Настоящее исследование направлено на эмпирическое изучение профессиональной позиции художников-педагогов в условиях распространения генеративных нейросетей.</w:t>
      </w:r>
    </w:p>
    <w:p w14:paraId="6018D006" w14:textId="0BA07108" w:rsidR="00D11D5D" w:rsidRPr="00D11D5D" w:rsidRDefault="006C08EA" w:rsidP="00E85EE2">
      <w:pPr>
        <w:spacing w:after="0" w:line="240" w:lineRule="auto"/>
        <w:ind w:firstLine="397"/>
        <w:jc w:val="both"/>
        <w:rPr>
          <w:lang w:val="ru-RU"/>
        </w:rPr>
      </w:pPr>
      <w:r w:rsidRPr="006C08EA">
        <w:rPr>
          <w:lang w:val="ru-RU"/>
        </w:rPr>
        <w:t>Объектом исследования выступает профессиональная деятельность художников-педагогов в условиях распространения генеративных нейросетей, предметом — особенности их педагогической интеграции в художественном образовании. Цель исследования заключается в выявлении отношения художников-педагогов к использованию генеративных нейросетей и определении степени их применения в образовательной практике. Предполагается, что между личным использованием генеративных нейросетей и их педагогическим применением существует статистически значимая связь.</w:t>
      </w:r>
      <w:r w:rsidR="00572DB2">
        <w:rPr>
          <w:lang w:val="ru-RU"/>
        </w:rPr>
        <w:t xml:space="preserve"> </w:t>
      </w:r>
      <w:r w:rsidR="00D11D5D" w:rsidRPr="00D11D5D">
        <w:rPr>
          <w:lang w:val="ru-RU"/>
        </w:rPr>
        <w:t>Под педагогической позицией в данном исследовании понимается совокупность установок, оценочных суждений и практических решений преподавателя относительно допустимости и форм использования генеративных нейросетей в обучении.</w:t>
      </w:r>
    </w:p>
    <w:p w14:paraId="2634497C" w14:textId="022C0580" w:rsidR="00BB5D3B" w:rsidRPr="0036494E" w:rsidRDefault="00530667" w:rsidP="00E85EE2">
      <w:pPr>
        <w:spacing w:after="0" w:line="240" w:lineRule="auto"/>
        <w:ind w:firstLine="397"/>
        <w:jc w:val="both"/>
        <w:rPr>
          <w:lang w:val="ru-RU"/>
        </w:rPr>
      </w:pPr>
      <w:r w:rsidRPr="00D041AF">
        <w:rPr>
          <w:lang w:val="ru-RU"/>
        </w:rPr>
        <w:t>В исследовании использовался метод анкетирования. В опросе приняли участие 56 респондент</w:t>
      </w:r>
      <w:r w:rsidR="0029558B">
        <w:rPr>
          <w:lang w:val="ru-RU"/>
        </w:rPr>
        <w:t>ов</w:t>
      </w:r>
      <w:r w:rsidR="001B291A">
        <w:rPr>
          <w:lang w:val="ru-RU"/>
        </w:rPr>
        <w:t>.</w:t>
      </w:r>
      <w:r w:rsidR="006C08EA">
        <w:rPr>
          <w:lang w:val="ru-RU"/>
        </w:rPr>
        <w:t xml:space="preserve"> </w:t>
      </w:r>
      <w:r w:rsidRPr="00D041AF">
        <w:rPr>
          <w:lang w:val="ru-RU"/>
        </w:rPr>
        <w:t>Ответы на утверждения оценивались по шкале от 0 до 3 баллов.</w:t>
      </w:r>
      <w:r w:rsidR="00D11D5D">
        <w:rPr>
          <w:lang w:val="ru-RU"/>
        </w:rPr>
        <w:t xml:space="preserve"> </w:t>
      </w:r>
      <w:r w:rsidR="00D11D5D" w:rsidRPr="00D11D5D">
        <w:rPr>
          <w:lang w:val="ru-RU"/>
        </w:rPr>
        <w:t>Респондентам предлагалось оценить степень согласия с утверждениями, отражающими отношение к использованию нейросетей в образовательной практике, например: «Неконтролируемое использование нейросетей может приводить к снижению базовых художественных навыков» и «Применение ИИ в обучении должно зависеть от возраста обучающихся».</w:t>
      </w:r>
      <w:r w:rsidR="00D11D5D">
        <w:rPr>
          <w:lang w:val="ru-RU"/>
        </w:rPr>
        <w:t xml:space="preserve"> </w:t>
      </w:r>
      <w:r w:rsidR="00610B96" w:rsidRPr="00610B96">
        <w:rPr>
          <w:lang w:val="ru-RU"/>
        </w:rPr>
        <w:t xml:space="preserve">Дополнительно была проанализирована структура выборки. 73,2% респондентов составили преподаватели художественных дисциплин, 14,3% — студенты, совмещающие обучение и преподавание, 12,5% — иные специалисты. </w:t>
      </w:r>
      <w:r w:rsidR="006C08EA" w:rsidRPr="006C08EA">
        <w:rPr>
          <w:lang w:val="ru-RU"/>
        </w:rPr>
        <w:t>Почти 73% участников имеют педагогический стаж более 4 лет, в том числе 39,3% респондентов — более 10 лет.</w:t>
      </w:r>
      <w:r w:rsidR="006C08EA">
        <w:rPr>
          <w:lang w:val="ru-RU"/>
        </w:rPr>
        <w:t xml:space="preserve"> </w:t>
      </w:r>
      <w:r w:rsidR="00610B96" w:rsidRPr="00610B96">
        <w:rPr>
          <w:lang w:val="ru-RU"/>
        </w:rPr>
        <w:t>Наиболее представлен возрастной диапазон 36–50 лет (41,1%), что позволяет говорить о вовлечённости в исследование преимущественно практикующих педагогов со значительным профессиональным опытом.</w:t>
      </w:r>
    </w:p>
    <w:p w14:paraId="252DB70B" w14:textId="28ED9A14" w:rsidR="003E4DB4" w:rsidRDefault="000E0CCA" w:rsidP="00E85EE2">
      <w:pPr>
        <w:spacing w:after="0" w:line="240" w:lineRule="auto"/>
        <w:ind w:firstLine="397"/>
        <w:jc w:val="both"/>
        <w:rPr>
          <w:lang w:val="ru-RU"/>
        </w:rPr>
      </w:pPr>
      <w:r w:rsidRPr="00D041AF">
        <w:rPr>
          <w:lang w:val="ru-RU"/>
        </w:rPr>
        <w:t xml:space="preserve">Результаты показали, что 42,9% респондентов не используют нейросети в учебной работе; 21,4% применяют их ограниченно; 17,9% используют как источник идей; 17,9% — в зависимости от задач обучения. </w:t>
      </w:r>
      <w:r w:rsidR="00B42F9D" w:rsidRPr="003E4DB4">
        <w:rPr>
          <w:lang w:val="ru-RU"/>
        </w:rPr>
        <w:t>Таким образом несмотря на то, что</w:t>
      </w:r>
      <w:r w:rsidR="003E4DB4" w:rsidRPr="003E4DB4">
        <w:rPr>
          <w:lang w:val="ru-RU"/>
        </w:rPr>
        <w:t xml:space="preserve"> значительная часть </w:t>
      </w:r>
      <w:r w:rsidR="003E4DB4" w:rsidRPr="003E4DB4">
        <w:rPr>
          <w:lang w:val="ru-RU"/>
        </w:rPr>
        <w:lastRenderedPageBreak/>
        <w:t>выборки (42,9%) не интегрирует ИИ в педагогическую практику</w:t>
      </w:r>
      <w:r w:rsidR="00B42F9D">
        <w:rPr>
          <w:lang w:val="ru-RU"/>
        </w:rPr>
        <w:t xml:space="preserve">, </w:t>
      </w:r>
      <w:r w:rsidR="00B42F9D" w:rsidRPr="00B42F9D">
        <w:rPr>
          <w:lang w:val="ru-RU"/>
        </w:rPr>
        <w:t>большинство педагогов (57,2%) используют его в образовательном процессе, преимущественно ограниченно или в зависимости от задач обучения.</w:t>
      </w:r>
    </w:p>
    <w:p w14:paraId="5C73898A" w14:textId="21C8889D" w:rsidR="00D041AF" w:rsidRDefault="00D041AF" w:rsidP="00E85EE2">
      <w:pPr>
        <w:spacing w:after="0" w:line="240" w:lineRule="auto"/>
        <w:ind w:firstLine="397"/>
        <w:jc w:val="both"/>
        <w:rPr>
          <w:lang w:val="ru-RU"/>
        </w:rPr>
      </w:pPr>
      <w:r w:rsidRPr="00D041AF">
        <w:rPr>
          <w:lang w:val="ru-RU"/>
        </w:rPr>
        <w:t>Более 85% опрошенных полностью поддерживают приоритет традиционных художественных навыков в обучении. 78,6% подчёркивают необходимость учитывать возраст обучающихся при внедрении нейросетей. 80,4% согласны с тем, что неконтролируемое использование ИИ может приводить к снижению базовых художественных навыков. Существенная часть респондентов указывает на необходимость прозрачных критериев оценки и обсуждения этических аспектов применения нейросетевых изображений.</w:t>
      </w:r>
    </w:p>
    <w:p w14:paraId="230E720B" w14:textId="371687AC" w:rsidR="00F55286" w:rsidRDefault="00F55286" w:rsidP="00E85EE2">
      <w:pPr>
        <w:spacing w:after="0" w:line="240" w:lineRule="auto"/>
        <w:ind w:firstLine="397"/>
        <w:jc w:val="both"/>
        <w:rPr>
          <w:lang w:val="ru-RU"/>
        </w:rPr>
      </w:pPr>
      <w:r w:rsidRPr="00F55286">
        <w:rPr>
          <w:lang w:val="ru-RU"/>
        </w:rPr>
        <w:t xml:space="preserve">Для проверки гипотезы о статистически значимой связи между личным использованием генеративных нейросетей и их педагогическим применением применялся критерий </w:t>
      </w:r>
      <w:r w:rsidR="009C4ED3">
        <w:rPr>
          <w:rFonts w:cs="Times New Roman"/>
          <w:lang w:val="ru-RU"/>
        </w:rPr>
        <w:t>χ</w:t>
      </w:r>
      <w:r w:rsidRPr="00F55286">
        <w:rPr>
          <w:lang w:val="ru-RU"/>
        </w:rPr>
        <w:t xml:space="preserve">² Пирсона. Анализ проводился по распределению частот использования ИИ в личной практике и образовательной деятельности. Выявлена статистически значимая связь </w:t>
      </w:r>
      <w:r w:rsidR="009C4ED3">
        <w:rPr>
          <w:lang w:val="ru-RU"/>
        </w:rPr>
        <w:t>(</w:t>
      </w:r>
      <m:oMath>
        <m:sSup>
          <m:sSupPr>
            <m:ctrlPr>
              <w:rPr>
                <w:rFonts w:ascii="Cambria Math" w:hAnsi="Cambria Math"/>
                <w:i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χ</m:t>
            </m:r>
          </m:e>
          <m:sup>
            <m:r>
              <w:rPr>
                <w:rFonts w:ascii="Cambria Math" w:hAnsi="Cambria Math"/>
                <w:lang w:val="ru-RU"/>
              </w:rPr>
              <m:t>2</m:t>
            </m:r>
          </m:sup>
        </m:sSup>
        <m:r>
          <w:rPr>
            <w:rFonts w:ascii="Cambria Math" w:hAnsi="Cambria Math"/>
            <w:lang w:val="ru-RU"/>
          </w:rPr>
          <m:t>=28,24</m:t>
        </m:r>
      </m:oMath>
      <w:r w:rsidR="009C4ED3">
        <w:rPr>
          <w:lang w:val="ru-RU"/>
        </w:rPr>
        <w:t xml:space="preserve">; </w:t>
      </w:r>
      <m:oMath>
        <m:r>
          <w:rPr>
            <w:rFonts w:ascii="Cambria Math" w:hAnsi="Cambria Math"/>
            <w:lang w:val="ru-RU"/>
          </w:rPr>
          <m:t>p&lt;0,001</m:t>
        </m:r>
      </m:oMath>
      <w:r w:rsidR="009C4ED3">
        <w:rPr>
          <w:lang w:val="ru-RU"/>
        </w:rPr>
        <w:t>)</w:t>
      </w:r>
      <w:r w:rsidRPr="00F55286">
        <w:rPr>
          <w:lang w:val="ru-RU"/>
        </w:rPr>
        <w:t>, что указывает на влияние личного опыта на интеграцию нейросетей в обучение.</w:t>
      </w:r>
    </w:p>
    <w:p w14:paraId="692E2EDE" w14:textId="3CCD1795" w:rsidR="00B42F9D" w:rsidRDefault="00997AD1" w:rsidP="00E85EE2">
      <w:pPr>
        <w:spacing w:after="0" w:line="240" w:lineRule="auto"/>
        <w:ind w:firstLine="397"/>
        <w:jc w:val="both"/>
        <w:rPr>
          <w:lang w:val="ru-RU"/>
        </w:rPr>
      </w:pPr>
      <w:r w:rsidRPr="00997AD1">
        <w:rPr>
          <w:lang w:val="ru-RU"/>
        </w:rPr>
        <w:t xml:space="preserve">Полученные результаты свидетельствуют о формировании осторожной профессиональной позиции. Генеративные нейросети не отвергаются педагогическим сообществом, однако их применение в образовательной практике сопровождается выраженной нормативной настороженностью. Сохранение традиционных художественных навыков остаётся ведущей ценностной установкой, что подтверждается высокой степенью согласия респондентов с приоритетностью базовой подготовки. Применение нейросетевых инструментов рассматривается как допустимое при соблюдении педагогических требований, включая учёт возраста обучающихся и прозрачность критериев оценки. </w:t>
      </w:r>
      <w:r w:rsidR="00D11D5D" w:rsidRPr="00D11D5D">
        <w:rPr>
          <w:lang w:val="ru-RU"/>
        </w:rPr>
        <w:t>Результаты не свидетельствуют о категорическом отрицании нейросетей, однако фиксируют высокий уровень осторожности и сдержанности их педагогической интеграции.</w:t>
      </w:r>
      <w:r w:rsidRPr="00997AD1">
        <w:rPr>
          <w:lang w:val="ru-RU"/>
        </w:rPr>
        <w:t xml:space="preserve"> Выявленный разрыв между личным использованием и педагогической интеграцией носит ценностно-нормативный характер и отражает переходный этап формирования устойчивых практик их применения в художественном образовании.</w:t>
      </w:r>
    </w:p>
    <w:p w14:paraId="0426F4EF" w14:textId="43513780" w:rsidR="00997AD1" w:rsidRDefault="00B42F9D" w:rsidP="00E85EE2">
      <w:pPr>
        <w:spacing w:after="0" w:line="240" w:lineRule="auto"/>
        <w:ind w:firstLine="397"/>
        <w:jc w:val="both"/>
        <w:rPr>
          <w:lang w:val="ru-RU"/>
        </w:rPr>
      </w:pPr>
      <w:r w:rsidRPr="00B42F9D">
        <w:rPr>
          <w:lang w:val="ru-RU"/>
        </w:rPr>
        <w:t>Результаты исследования свидетельствуют о переходе от спонтанного и индивидуального использования ИИ к необходимости его институционализации. Неоднородность практик и нормативная неопределённость создают потребность в разработке методических стандартов, регламентирующих формы применения генеративных нейросетей, критерии оценивания работ и принципы формирования у обучающихся осознанного взаимодействия с алгоритмическими инструментами.</w:t>
      </w:r>
      <w:r w:rsidR="00572DB2">
        <w:rPr>
          <w:lang w:val="ru-RU"/>
        </w:rPr>
        <w:t xml:space="preserve"> </w:t>
      </w:r>
    </w:p>
    <w:p w14:paraId="0053B8E4" w14:textId="6E7AF320" w:rsidR="001D1CF1" w:rsidRPr="00BB5D3B" w:rsidRDefault="00530667" w:rsidP="00E85EE2">
      <w:pPr>
        <w:spacing w:after="0" w:line="240" w:lineRule="auto"/>
        <w:ind w:firstLine="397"/>
        <w:jc w:val="both"/>
        <w:rPr>
          <w:lang w:val="ru-RU"/>
        </w:rPr>
      </w:pPr>
      <w:r w:rsidRPr="00BB5D3B">
        <w:rPr>
          <w:lang w:val="ru-RU"/>
        </w:rPr>
        <w:t>Литература</w:t>
      </w:r>
    </w:p>
    <w:p w14:paraId="26E8C571" w14:textId="14C83FE5" w:rsidR="001D1CF1" w:rsidRPr="009C4ED3" w:rsidRDefault="00530667" w:rsidP="009C4ED3">
      <w:pPr>
        <w:pStyle w:val="ae"/>
        <w:numPr>
          <w:ilvl w:val="0"/>
          <w:numId w:val="11"/>
        </w:numPr>
        <w:spacing w:after="0" w:line="240" w:lineRule="auto"/>
        <w:rPr>
          <w:lang w:val="ru-RU"/>
        </w:rPr>
      </w:pPr>
      <w:r w:rsidRPr="009C4ED3">
        <w:rPr>
          <w:lang w:val="ru-RU"/>
        </w:rPr>
        <w:t>Беспалько В.П. Педагогика и прогрессивные технологии обучения. М., 1995.</w:t>
      </w:r>
    </w:p>
    <w:p w14:paraId="4AEB45E3" w14:textId="486F42D8" w:rsidR="001D1CF1" w:rsidRPr="009C4ED3" w:rsidRDefault="00530667" w:rsidP="009C4ED3">
      <w:pPr>
        <w:pStyle w:val="ae"/>
        <w:numPr>
          <w:ilvl w:val="0"/>
          <w:numId w:val="11"/>
        </w:numPr>
        <w:spacing w:after="0" w:line="240" w:lineRule="auto"/>
        <w:rPr>
          <w:lang w:val="ru-RU"/>
        </w:rPr>
      </w:pPr>
      <w:r w:rsidRPr="009C4ED3">
        <w:rPr>
          <w:lang w:val="ru-RU"/>
        </w:rPr>
        <w:t>Кларин М.В. Инновационные модели обучения. М., 2016.</w:t>
      </w:r>
    </w:p>
    <w:p w14:paraId="3EE4E26B" w14:textId="4AE9DCA9" w:rsidR="001D1CF1" w:rsidRDefault="00530667" w:rsidP="009C4ED3">
      <w:pPr>
        <w:pStyle w:val="ae"/>
        <w:numPr>
          <w:ilvl w:val="0"/>
          <w:numId w:val="11"/>
        </w:numPr>
        <w:spacing w:after="0" w:line="240" w:lineRule="auto"/>
      </w:pPr>
      <w:proofErr w:type="spellStart"/>
      <w:r>
        <w:t>Elgammal</w:t>
      </w:r>
      <w:proofErr w:type="spellEnd"/>
      <w:r w:rsidRPr="009C4ED3">
        <w:rPr>
          <w:lang w:val="ru-RU"/>
        </w:rPr>
        <w:t xml:space="preserve"> </w:t>
      </w:r>
      <w:r>
        <w:t>A</w:t>
      </w:r>
      <w:r w:rsidRPr="009C4ED3">
        <w:rPr>
          <w:lang w:val="ru-RU"/>
        </w:rPr>
        <w:t xml:space="preserve">. </w:t>
      </w:r>
      <w:r>
        <w:t>et</w:t>
      </w:r>
      <w:r w:rsidRPr="009C4ED3">
        <w:rPr>
          <w:lang w:val="ru-RU"/>
        </w:rPr>
        <w:t xml:space="preserve"> </w:t>
      </w:r>
      <w:r>
        <w:t>al</w:t>
      </w:r>
      <w:r w:rsidRPr="009C4ED3">
        <w:rPr>
          <w:lang w:val="ru-RU"/>
        </w:rPr>
        <w:t xml:space="preserve">. </w:t>
      </w:r>
      <w:r>
        <w:t>CAN: Creative Adversarial Networks // ICCC. 2017.</w:t>
      </w:r>
    </w:p>
    <w:p w14:paraId="6DCEEB40" w14:textId="43B36A54" w:rsidR="001D1CF1" w:rsidRDefault="000A403D" w:rsidP="009C4ED3">
      <w:pPr>
        <w:pStyle w:val="ae"/>
        <w:numPr>
          <w:ilvl w:val="0"/>
          <w:numId w:val="11"/>
        </w:numPr>
        <w:spacing w:after="0" w:line="240" w:lineRule="auto"/>
      </w:pPr>
      <w:r>
        <w:t xml:space="preserve">Knight Y., </w:t>
      </w:r>
      <w:proofErr w:type="spellStart"/>
      <w:r>
        <w:t>Eladhari</w:t>
      </w:r>
      <w:proofErr w:type="spellEnd"/>
      <w:r>
        <w:t xml:space="preserve"> M.P. Artificial intelligence in an artistic practice // Media Practice and Education. 2025.</w:t>
      </w:r>
    </w:p>
    <w:p w14:paraId="3623E1EC" w14:textId="1C3F6400" w:rsidR="001D1CF1" w:rsidRDefault="000A403D" w:rsidP="009C4ED3">
      <w:pPr>
        <w:pStyle w:val="ae"/>
        <w:numPr>
          <w:ilvl w:val="0"/>
          <w:numId w:val="11"/>
        </w:numPr>
        <w:spacing w:after="0" w:line="240" w:lineRule="auto"/>
      </w:pPr>
      <w:proofErr w:type="spellStart"/>
      <w:r>
        <w:t>Luckin</w:t>
      </w:r>
      <w:proofErr w:type="spellEnd"/>
      <w:r>
        <w:t xml:space="preserve"> R. et al. Intelligence Unleashed: An Argument for AI in Education. London, 2016.</w:t>
      </w:r>
    </w:p>
    <w:sectPr w:rsidR="001D1CF1" w:rsidSect="00955FBA">
      <w:pgSz w:w="12240" w:h="15840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1472188"/>
    <w:multiLevelType w:val="hybridMultilevel"/>
    <w:tmpl w:val="40CAE21A"/>
    <w:lvl w:ilvl="0" w:tplc="53381C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71A35694"/>
    <w:multiLevelType w:val="hybridMultilevel"/>
    <w:tmpl w:val="6FE41E48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403D"/>
    <w:rsid w:val="000B1AED"/>
    <w:rsid w:val="000E0CCA"/>
    <w:rsid w:val="0015074B"/>
    <w:rsid w:val="001A4F25"/>
    <w:rsid w:val="001B291A"/>
    <w:rsid w:val="001D1CF1"/>
    <w:rsid w:val="0029558B"/>
    <w:rsid w:val="0029639D"/>
    <w:rsid w:val="00323290"/>
    <w:rsid w:val="00326F90"/>
    <w:rsid w:val="0036494E"/>
    <w:rsid w:val="003E4DB4"/>
    <w:rsid w:val="003E66CC"/>
    <w:rsid w:val="004527E5"/>
    <w:rsid w:val="004A6E0A"/>
    <w:rsid w:val="00530667"/>
    <w:rsid w:val="00572DB2"/>
    <w:rsid w:val="00610B96"/>
    <w:rsid w:val="006C08EA"/>
    <w:rsid w:val="006D3A0E"/>
    <w:rsid w:val="007119BC"/>
    <w:rsid w:val="00747DDD"/>
    <w:rsid w:val="007E3076"/>
    <w:rsid w:val="007E6BFB"/>
    <w:rsid w:val="00864D93"/>
    <w:rsid w:val="00866EE1"/>
    <w:rsid w:val="008F4DED"/>
    <w:rsid w:val="00955FBA"/>
    <w:rsid w:val="00997AD1"/>
    <w:rsid w:val="009C4ED3"/>
    <w:rsid w:val="00A46E41"/>
    <w:rsid w:val="00AA1D8D"/>
    <w:rsid w:val="00AA7201"/>
    <w:rsid w:val="00B42F9D"/>
    <w:rsid w:val="00B47730"/>
    <w:rsid w:val="00B9633A"/>
    <w:rsid w:val="00BB5D3B"/>
    <w:rsid w:val="00CB0664"/>
    <w:rsid w:val="00D041AF"/>
    <w:rsid w:val="00D11D5D"/>
    <w:rsid w:val="00E85EE2"/>
    <w:rsid w:val="00EE2368"/>
    <w:rsid w:val="00F5528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363BC9"/>
  <w14:defaultImageDpi w14:val="300"/>
  <w15:docId w15:val="{D9F83642-128A-402C-A676-9C46F803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Revision"/>
    <w:hidden/>
    <w:uiPriority w:val="99"/>
    <w:semiHidden/>
    <w:rsid w:val="001B291A"/>
    <w:pPr>
      <w:spacing w:after="0" w:line="240" w:lineRule="auto"/>
    </w:pPr>
    <w:rPr>
      <w:rFonts w:ascii="Times New Roman" w:hAnsi="Times New Roman"/>
      <w:sz w:val="24"/>
    </w:rPr>
  </w:style>
  <w:style w:type="character" w:styleId="aff9">
    <w:name w:val="annotation reference"/>
    <w:basedOn w:val="a2"/>
    <w:uiPriority w:val="99"/>
    <w:semiHidden/>
    <w:unhideWhenUsed/>
    <w:rsid w:val="001B291A"/>
    <w:rPr>
      <w:sz w:val="16"/>
      <w:szCs w:val="16"/>
    </w:rPr>
  </w:style>
  <w:style w:type="paragraph" w:styleId="affa">
    <w:name w:val="annotation text"/>
    <w:basedOn w:val="a1"/>
    <w:link w:val="affb"/>
    <w:uiPriority w:val="99"/>
    <w:unhideWhenUsed/>
    <w:rsid w:val="001B291A"/>
    <w:pPr>
      <w:spacing w:line="240" w:lineRule="auto"/>
    </w:pPr>
    <w:rPr>
      <w:sz w:val="20"/>
      <w:szCs w:val="20"/>
    </w:rPr>
  </w:style>
  <w:style w:type="character" w:customStyle="1" w:styleId="affb">
    <w:name w:val="Текст примечания Знак"/>
    <w:basedOn w:val="a2"/>
    <w:link w:val="affa"/>
    <w:uiPriority w:val="99"/>
    <w:rsid w:val="001B291A"/>
    <w:rPr>
      <w:rFonts w:ascii="Times New Roman" w:hAnsi="Times New Roman"/>
      <w:sz w:val="20"/>
      <w:szCs w:val="20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1B291A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1B291A"/>
    <w:rPr>
      <w:rFonts w:ascii="Times New Roman" w:hAnsi="Times New Roman"/>
      <w:b/>
      <w:bCs/>
      <w:sz w:val="20"/>
      <w:szCs w:val="20"/>
    </w:rPr>
  </w:style>
  <w:style w:type="character" w:styleId="affe">
    <w:name w:val="Placeholder Text"/>
    <w:basedOn w:val="a2"/>
    <w:uiPriority w:val="99"/>
    <w:semiHidden/>
    <w:rsid w:val="001A4F25"/>
    <w:rPr>
      <w:color w:val="808080"/>
    </w:rPr>
  </w:style>
  <w:style w:type="character" w:styleId="afff">
    <w:name w:val="Hyperlink"/>
    <w:basedOn w:val="a2"/>
    <w:uiPriority w:val="99"/>
    <w:unhideWhenUsed/>
    <w:rsid w:val="009C4ED3"/>
    <w:rPr>
      <w:color w:val="0000FF" w:themeColor="hyperlink"/>
      <w:u w:val="single"/>
    </w:rPr>
  </w:style>
  <w:style w:type="character" w:styleId="afff0">
    <w:name w:val="Unresolved Mention"/>
    <w:basedOn w:val="a2"/>
    <w:uiPriority w:val="99"/>
    <w:semiHidden/>
    <w:unhideWhenUsed/>
    <w:rsid w:val="009C4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astasiamorozova0506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96B253-1A43-4540-81B2-B9B0D793A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967</Words>
  <Characters>5517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6472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Анстасия</cp:lastModifiedBy>
  <cp:revision>2</cp:revision>
  <dcterms:created xsi:type="dcterms:W3CDTF">2026-03-18T14:45:00Z</dcterms:created>
  <dcterms:modified xsi:type="dcterms:W3CDTF">2026-03-18T14:45:00Z</dcterms:modified>
  <cp:category/>
</cp:coreProperties>
</file>