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D7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heading_0"/>
      <w:r>
        <w:rPr>
          <w:rFonts w:hint="default" w:ascii="Times New Roman" w:hAnsi="Times New Roman" w:cs="Times New Roman"/>
          <w:b/>
          <w:bCs/>
          <w:sz w:val="24"/>
          <w:szCs w:val="24"/>
        </w:rPr>
        <w:t>Институциональное формирование и культурное развитие: сравнительное исследование систем музыкального образования</w:t>
      </w:r>
    </w:p>
    <w:p w14:paraId="3D2F7179">
      <w:pPr>
        <w:spacing w:line="276" w:lineRule="auto"/>
        <w:rPr>
          <w:rFonts w:hint="default" w:ascii="Times New Roman" w:hAnsi="Times New Roman" w:cs="Times New Roman"/>
          <w:b/>
          <w:bCs w:val="0"/>
          <w:i/>
          <w:iCs/>
          <w:sz w:val="24"/>
          <w:szCs w:val="24"/>
          <w:lang w:val="ru-RU"/>
        </w:rPr>
      </w:pPr>
      <w:bookmarkStart w:id="8" w:name="_GoBack"/>
      <w:r>
        <w:rPr>
          <w:rFonts w:hint="default" w:ascii="Times New Roman" w:hAnsi="Times New Roman" w:cs="Times New Roman"/>
          <w:b/>
          <w:bCs w:val="0"/>
          <w:i/>
          <w:iCs/>
          <w:sz w:val="24"/>
          <w:szCs w:val="24"/>
          <w:lang w:val="ru-RU"/>
        </w:rPr>
        <w:t>Сюй Ханьчжэн</w:t>
      </w:r>
    </w:p>
    <w:bookmarkEnd w:id="8"/>
    <w:p w14:paraId="389F1377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00" w:afterAutospacing="0" w:line="240" w:lineRule="auto"/>
        <w:ind w:left="0" w:right="0" w:firstLine="0"/>
        <w:jc w:val="center"/>
        <w:textAlignment w:val="auto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</w:pPr>
      <w:r>
        <w:rPr>
          <w:rStyle w:val="5"/>
          <w:rFonts w:hint="default" w:ascii="Times New Roman" w:hAnsi="Times New Roman" w:eastAsia="Arial" w:cs="Times New Roman"/>
          <w:i/>
          <w:iCs/>
          <w:caps w:val="0"/>
          <w:color w:val="353535"/>
          <w:spacing w:val="0"/>
          <w:sz w:val="24"/>
          <w:szCs w:val="24"/>
          <w:shd w:val="clear" w:fill="FFFFFF"/>
          <w:lang w:val="ru-RU"/>
        </w:rPr>
        <w:t>Аспирант</w:t>
      </w:r>
    </w:p>
    <w:p w14:paraId="4E154B45">
      <w:pPr>
        <w:spacing w:line="276" w:lineRule="auto"/>
        <w:jc w:val="center"/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i/>
          <w:iCs/>
          <w:sz w:val="24"/>
          <w:szCs w:val="24"/>
          <w:lang w:val="ru-RU"/>
        </w:rPr>
        <w:t>аспирант ФПО МГУ имени М.В. Ломоносова.</w:t>
      </w:r>
    </w:p>
    <w:p w14:paraId="0FCCB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i/>
          <w:iCs/>
          <w:sz w:val="24"/>
          <w:szCs w:val="24"/>
          <w:lang w:val="en-US" w:eastAsia="zh-CN"/>
        </w:rPr>
      </w:pPr>
      <w:r>
        <w:rPr>
          <w:rStyle w:val="5"/>
          <w:rFonts w:hint="default" w:ascii="Times New Roman" w:hAnsi="Times New Roman" w:eastAsia="Arial" w:cs="Times New Roman"/>
          <w:i/>
          <w:iCs/>
          <w:caps w:val="0"/>
          <w:color w:val="353535"/>
          <w:spacing w:val="0"/>
          <w:sz w:val="24"/>
          <w:szCs w:val="24"/>
          <w:shd w:val="clear" w:fill="FFFFFF"/>
        </w:rPr>
        <w:t>E–mail:</w:t>
      </w:r>
      <w:r>
        <w:rPr>
          <w:rStyle w:val="5"/>
          <w:rFonts w:hint="default" w:ascii="Times New Roman" w:hAnsi="Times New Roman" w:eastAsia="宋体" w:cs="Times New Roman"/>
          <w:i/>
          <w:iCs/>
          <w:caps w:val="0"/>
          <w:color w:val="353535"/>
          <w:spacing w:val="0"/>
          <w:sz w:val="24"/>
          <w:szCs w:val="24"/>
          <w:shd w:val="clear" w:fill="FFFFFF"/>
          <w:lang w:val="en-US" w:eastAsia="zh-CN"/>
        </w:rPr>
        <w:t>sunshine20220@gnesin-academy.ru</w:t>
      </w:r>
    </w:p>
    <w:p w14:paraId="7F413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40" w:lineRule="auto"/>
        <w:ind w:left="0" w:firstLine="40"/>
        <w:textAlignment w:val="auto"/>
        <w:rPr>
          <w:rFonts w:hint="default" w:ascii="Times New Roman" w:hAnsi="Times New Roman" w:eastAsia="等线" w:cs="Times New Roman"/>
          <w:b/>
          <w:sz w:val="24"/>
          <w:szCs w:val="24"/>
        </w:rPr>
      </w:pPr>
      <w:r>
        <w:rPr>
          <w:rFonts w:hint="default" w:ascii="Times New Roman" w:hAnsi="Times New Roman" w:eastAsia="等线" w:cs="Times New Roman"/>
          <w:b/>
          <w:sz w:val="24"/>
          <w:szCs w:val="24"/>
        </w:rPr>
        <w:t>Аннотация</w:t>
      </w:r>
      <w:bookmarkEnd w:id="0"/>
    </w:p>
    <w:p w14:paraId="6B9C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0" w:after="480" w:line="240" w:lineRule="auto"/>
        <w:ind w:left="0" w:firstLine="4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Системы музыкального образования Китая и России в процессе модернизации демонстрируют двойственную характерность — институциональных путей и культурных генов. На основе институциональной экономики и культурной социологии, применяя сравнительный метод, анализ из трех аспектов — строительства институтов, экономического перехода, преемства цивилизации — показывает: Россия в рыночной экономике сохранила общественную природу художественного образования посредством общественно-частного партнерства, а Китай исследует модернизационный переход традиционной музыкальной культуры на волне коммерциализации. Каждая страна продолжает духовное ядро своей цивилизации, образуя два типичных парадигмы модернизации в не западном контексте. Это исследование раскрывает механизм формирования институциональной среды и культурных традиций, предоставляя практические опыты для межцивилизационного диалога.</w:t>
      </w:r>
    </w:p>
    <w:p w14:paraId="0ED1A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b/>
          <w:sz w:val="24"/>
          <w:szCs w:val="24"/>
        </w:rPr>
        <w:t>Ключевые слова</w:t>
      </w:r>
      <w:r>
        <w:rPr>
          <w:rFonts w:hint="default" w:ascii="Times New Roman" w:hAnsi="Times New Roman" w:eastAsia="等线" w:cs="Times New Roman"/>
          <w:sz w:val="24"/>
          <w:szCs w:val="24"/>
        </w:rPr>
        <w:t>: музыкальное образование Китая и России; система; культура; экономика</w:t>
      </w:r>
    </w:p>
    <w:p w14:paraId="231562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240" w:lineRule="auto"/>
        <w:ind w:left="0" w:firstLine="40"/>
        <w:jc w:val="lef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bookmarkStart w:id="1" w:name="heading_1"/>
      <w:r>
        <w:rPr>
          <w:rFonts w:hint="default" w:ascii="Times New Roman" w:hAnsi="Times New Roman" w:eastAsia="等线" w:cs="Times New Roman"/>
          <w:b/>
          <w:sz w:val="24"/>
          <w:szCs w:val="24"/>
        </w:rPr>
        <w:t>Введение</w:t>
      </w:r>
      <w:bookmarkEnd w:id="1"/>
    </w:p>
    <w:p w14:paraId="2D036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Китай и Россия, находясь на пересечении восточных и западных цивилизаций, сформировали уникальные системы музыкального образования. Система СССР оказала глубокое влияние на Китай, но после холодной войны обе страны постепенно сформировали ярко выраженные самостоятельные характеристики. В XXI веке музыкальное образование играет важную роль в национальной культурной стратегии. Существующие исследования сосредоточены на отдельных странах, отсутствует межцивилизационное сравнение. Данная статья строит трехмерную структуру «система — экономика — культура», рассматривая ключевые вопросы: как институциональные механизмы регулируют распределение ресурсов? Какие культурные парадоксы возникают при экономическом переходе? Как традиции проходят современный переход?</w:t>
      </w:r>
    </w:p>
    <w:p w14:paraId="0FE38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240" w:lineRule="auto"/>
        <w:ind w:left="0" w:firstLine="40"/>
        <w:jc w:val="lef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bookmarkStart w:id="2" w:name="heading_2"/>
      <w:r>
        <w:rPr>
          <w:rFonts w:hint="default" w:ascii="Times New Roman" w:hAnsi="Times New Roman" w:eastAsia="等线" w:cs="Times New Roman"/>
          <w:b/>
          <w:sz w:val="24"/>
          <w:szCs w:val="24"/>
        </w:rPr>
        <w:t>Основная часть</w:t>
      </w:r>
      <w:bookmarkEnd w:id="2"/>
    </w:p>
    <w:p w14:paraId="372DB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40"/>
        <w:jc w:val="left"/>
        <w:textAlignment w:val="auto"/>
        <w:outlineLvl w:val="1"/>
        <w:rPr>
          <w:rFonts w:hint="default" w:ascii="Times New Roman" w:hAnsi="Times New Roman" w:cs="Times New Roman"/>
          <w:sz w:val="24"/>
          <w:szCs w:val="24"/>
        </w:rPr>
      </w:pPr>
      <w:bookmarkStart w:id="3" w:name="heading_3"/>
      <w:r>
        <w:rPr>
          <w:rFonts w:hint="default" w:ascii="Times New Roman" w:hAnsi="Times New Roman" w:eastAsia="等线" w:cs="Times New Roman"/>
          <w:b/>
          <w:sz w:val="24"/>
          <w:szCs w:val="24"/>
        </w:rPr>
        <w:t>1. Институциональное строение и исторические традиции</w:t>
      </w:r>
      <w:bookmarkEnd w:id="3"/>
    </w:p>
    <w:p w14:paraId="4A7E2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Институциональная структура двух стран демонстрирует различие между «государственной системой» (Китай) и «двухпутной параллельной системой» (Россия). Россия продолжает традицию элитарного образования, сформировав вертикальную систему «детская музыкальная школа — музыкальное техническое училище — консерватория». «Концепция культурной политики 2012 года» переориентировала институциональное проектирование на контроль качества, поддерживая высокую плотность профессиональных музыкальных учителей (118 человек на миллион населения).</w:t>
      </w:r>
    </w:p>
    <w:p w14:paraId="0A757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Китай после 1985 года сформировал двухпутную структуру «профессиональное элитарное образование + массовое эстетическое образование». В профессиональной сфере сохраняется система «прикрепленная средняя школа — бакалавриат — аспирантура», а в начальном образовании доля музыкальных уроков не менее 11%. Местные инновации (например, облачный мониторинг в Шэньчжене) контрастируют с российским режимом экспертного контроля.</w:t>
      </w:r>
    </w:p>
    <w:p w14:paraId="33F1D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В России сохраняется традиция наставничества, а Китай реализует стандартизированную сертификацию через всеобщий экзамен на право преподавания. Это отражает разные позиционирования функций музыкального образования: Россия рассматривает его как национальный культурный генетический банк, а Китай — как важную часть проекта эстетического образования.</w:t>
      </w:r>
    </w:p>
    <w:p w14:paraId="43B96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40"/>
        <w:jc w:val="left"/>
        <w:textAlignment w:val="auto"/>
        <w:outlineLvl w:val="1"/>
        <w:rPr>
          <w:rFonts w:hint="default" w:ascii="Times New Roman" w:hAnsi="Times New Roman" w:cs="Times New Roman"/>
          <w:sz w:val="24"/>
          <w:szCs w:val="24"/>
        </w:rPr>
      </w:pPr>
      <w:bookmarkStart w:id="4" w:name="heading_4"/>
      <w:r>
        <w:rPr>
          <w:rFonts w:hint="default" w:ascii="Times New Roman" w:hAnsi="Times New Roman" w:eastAsia="等线" w:cs="Times New Roman"/>
          <w:b/>
          <w:sz w:val="24"/>
          <w:szCs w:val="24"/>
        </w:rPr>
        <w:t>2. Распределение ресурсов в контексте экономического перехода</w:t>
      </w:r>
      <w:bookmarkEnd w:id="4"/>
    </w:p>
    <w:p w14:paraId="5BC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Россия использует энергетический капитал для поддержки музыкального образования: ПАО «Газпром» спонсирует проект молодых артистов Мариинского театра, Республика Татарстан инвестирует 3% прибылей энергетических компаний в музыкальное образование, а компания «Норильский никель» выплачивает арктический бонус для удержания музыкальных учителей в Арктическом круге.</w:t>
      </w:r>
    </w:p>
    <w:p w14:paraId="1C2DA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Китай опирается на рыночную динамику: коммерческие центры (например, Sphinx Art Education) предлагают курсы с высокой стоимостью, но существует значительный разрыв между городом и сельской местностью в доступе к музыкальным образовательным ресурсам. Технологические решения (дистанционное образование, 5G+голография) пытаются нивелировать неравенство, но коэффициент проведения музыкальных уроков в сельских школах западного региона не превышает 40%.</w:t>
      </w:r>
    </w:p>
    <w:p w14:paraId="4DFEB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Россия связывает финансирование музыкального образования с доходами от экспорта нефти и газа, а Китай использует платформы цифровых технологий для широкого распространения музыкального образования среди населения.</w:t>
      </w:r>
    </w:p>
    <w:p w14:paraId="4B86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40" w:lineRule="auto"/>
        <w:ind w:left="0" w:firstLine="40"/>
        <w:jc w:val="left"/>
        <w:textAlignment w:val="auto"/>
        <w:outlineLvl w:val="1"/>
        <w:rPr>
          <w:rFonts w:hint="default" w:ascii="Times New Roman" w:hAnsi="Times New Roman" w:cs="Times New Roman"/>
          <w:sz w:val="24"/>
          <w:szCs w:val="24"/>
        </w:rPr>
      </w:pPr>
      <w:bookmarkStart w:id="5" w:name="heading_5"/>
      <w:r>
        <w:rPr>
          <w:rFonts w:hint="default" w:ascii="Times New Roman" w:hAnsi="Times New Roman" w:eastAsia="等线" w:cs="Times New Roman"/>
          <w:b/>
          <w:sz w:val="24"/>
          <w:szCs w:val="24"/>
        </w:rPr>
        <w:t>3. Современный переход культурных генов</w:t>
      </w:r>
      <w:bookmarkEnd w:id="5"/>
    </w:p>
    <w:p w14:paraId="513BE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Россия строит культурный форт на основе духовного ядра православной цивилизации, сохраняя «святость» и «национальность» через институционализированные курсы. Цифровые технологии используются для усиления иммерсии в культурный контекст, но технический рационал всегда подчиняется вечным духовным ценностям.</w:t>
      </w:r>
    </w:p>
    <w:p w14:paraId="2874F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Китай осуществляет систематическую реконструкцию традиционных элементов, деконструируя культуру на модульные компоненты, которые адаптируются к современным дисциплинам и рыночной логике. Проекты цифровизации и интеграция традиционных техник в современное образование демонстрируют инновационный подход.</w:t>
      </w:r>
    </w:p>
    <w:p w14:paraId="12717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240" w:lineRule="auto"/>
        <w:ind w:left="0" w:firstLine="40"/>
        <w:jc w:val="lef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bookmarkStart w:id="6" w:name="heading_6"/>
      <w:r>
        <w:rPr>
          <w:rFonts w:hint="default" w:ascii="Times New Roman" w:hAnsi="Times New Roman" w:eastAsia="等线" w:cs="Times New Roman"/>
          <w:b/>
          <w:sz w:val="24"/>
          <w:szCs w:val="24"/>
        </w:rPr>
        <w:t>Заключение</w:t>
      </w:r>
      <w:bookmarkEnd w:id="6"/>
    </w:p>
    <w:p w14:paraId="4472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Модернизация музыкального образования Китая и России является результатом динамического взаимодействия между строительством институтов, экономическим переходом и культурным преемством. Россия защищает общественную природу художественного образования через механизм общественно-частного партнерства, а Китай исследует новые пути трансформации традиционной культуры через слияние с современными технологиями. Оба страны образуют типичные образцы не западной модернизации музыкального образования, предоставляя ценный опыт для межцивилизационного диалога. Будущие исследования могут быть расширены на сравнение музыкального образования в странах по маршруту «Один пояс, один путь».</w:t>
      </w:r>
    </w:p>
    <w:p w14:paraId="3023B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240" w:lineRule="auto"/>
        <w:ind w:left="0" w:firstLine="40"/>
        <w:jc w:val="left"/>
        <w:textAlignment w:val="auto"/>
        <w:outlineLvl w:val="0"/>
        <w:rPr>
          <w:rFonts w:hint="default" w:ascii="Times New Roman" w:hAnsi="Times New Roman" w:cs="Times New Roman"/>
          <w:sz w:val="24"/>
          <w:szCs w:val="24"/>
        </w:rPr>
      </w:pPr>
      <w:bookmarkStart w:id="7" w:name="heading_7"/>
      <w:r>
        <w:rPr>
          <w:rFonts w:hint="default" w:ascii="Times New Roman" w:hAnsi="Times New Roman" w:eastAsia="等线" w:cs="Times New Roman"/>
          <w:b/>
          <w:sz w:val="24"/>
          <w:szCs w:val="24"/>
        </w:rPr>
        <w:t>Список источников</w:t>
      </w:r>
      <w:bookmarkEnd w:id="7"/>
    </w:p>
    <w:p w14:paraId="0230E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等线" w:cs="Times New Roman"/>
          <w:sz w:val="24"/>
          <w:szCs w:val="24"/>
        </w:rPr>
        <w:t>[1] Rytsarev, M. (2006). Russian Music of the 18th Century. Ashgate Publishing.</w:t>
      </w:r>
      <w:r>
        <w:rPr>
          <w:rFonts w:hint="default" w:ascii="Times New Roman" w:hAnsi="Times New Roman" w:eastAsia="等线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等线" w:cs="Times New Roman"/>
          <w:sz w:val="24"/>
          <w:szCs w:val="24"/>
        </w:rPr>
        <w:t>[2] Ministry of Culture of the Russian Federation. (2012). Federal Framework for Cultural Policy.</w:t>
      </w:r>
      <w:r>
        <w:rPr>
          <w:rFonts w:hint="default" w:ascii="Times New Roman" w:hAnsi="Times New Roman" w:eastAsia="等线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等线" w:cs="Times New Roman"/>
          <w:sz w:val="24"/>
          <w:szCs w:val="24"/>
        </w:rPr>
        <w:t>[6] Мариинский театр. (2021). Годовой отчет о проекте молодых артистов.</w:t>
      </w:r>
      <w:r>
        <w:rPr>
          <w:rFonts w:hint="default" w:ascii="Times New Roman" w:hAnsi="Times New Roman" w:eastAsia="等线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等线" w:cs="Times New Roman"/>
          <w:sz w:val="24"/>
          <w:szCs w:val="24"/>
        </w:rPr>
        <w:t>[8] Волков, S. (2008). Магический хор: История российской культуры.</w:t>
      </w:r>
      <w:r>
        <w:rPr>
          <w:rFonts w:hint="default" w:ascii="Times New Roman" w:hAnsi="Times New Roman" w:eastAsia="等线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等线" w:cs="Times New Roman"/>
          <w:sz w:val="24"/>
          <w:szCs w:val="24"/>
        </w:rPr>
        <w:t>[12] Чжан Х. (2021). Традиционные китайские музыкальные элементы в современном образовании.</w:t>
      </w:r>
    </w:p>
    <w:p w14:paraId="14D6E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40" w:lineRule="auto"/>
        <w:ind w:left="0" w:firstLine="40"/>
        <w:jc w:val="left"/>
        <w:textAlignment w:val="auto"/>
        <w:rPr>
          <w:rFonts w:hint="default" w:ascii="Courier New" w:hAnsi="Courier New" w:cs="Courier New"/>
          <w:sz w:val="24"/>
          <w:szCs w:val="24"/>
        </w:rPr>
      </w:pPr>
    </w:p>
    <w:sectPr>
      <w:headerReference r:id="rId3" w:type="default"/>
      <w:footerReference r:id="rId4" w:type="default"/>
      <w:pgSz w:w="11905" w:h="16840"/>
      <w:pgMar w:top="1134" w:right="1361" w:bottom="1134" w:left="136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1595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38AA9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9B5EBC"/>
    <w:rsid w:val="7F781E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692</Words>
  <Characters>5507</Characters>
  <TotalTime>3</TotalTime>
  <ScaleCrop>false</ScaleCrop>
  <LinksUpToDate>false</LinksUpToDate>
  <CharactersWithSpaces>6169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2026-03-01T19:03:00Z</dcterms:created>
  <dc:creator>Apache POI</dc:creator>
  <cp:lastModifiedBy>PazHx</cp:lastModifiedBy>
  <dcterms:modified xsi:type="dcterms:W3CDTF">2026-03-02T16:59:58Z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eyJoZGlkIjoiM2U0NzQ0Y2Q5ODE0NTA4NWNiNDc0YjNhYTZiOTU1ODkiLCJ1c2VySWQiOiI5NDU2Mjg3NzAifQ==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4A3A01049B134D11B443158D54588E09_13</vt:lpwstr>
  </property>
</Properties>
</file>