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205628">
      <w:pPr>
        <w:spacing w:line="240" w:lineRule="auto"/>
        <w:jc w:val="center"/>
        <w:rPr>
          <w:rFonts w:hint="default" w:ascii="Times New Roman" w:hAnsi="Times New Roman" w:eastAsia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ru-RU"/>
        </w:rPr>
        <w:t>Палимпсест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lang w:val="ru-RU"/>
        </w:rPr>
        <w:t xml:space="preserve"> памяти в видеоэкскурсии мемориального музея: случай Берлин-Хоэншёнхаузен</w:t>
      </w:r>
    </w:p>
    <w:p w14:paraId="6B1D7D5F">
      <w:pPr>
        <w:spacing w:line="240" w:lineRule="auto"/>
        <w:jc w:val="center"/>
        <w:rPr>
          <w:rFonts w:hint="default"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Орешкина Влада Владимировна</w:t>
      </w:r>
    </w:p>
    <w:p w14:paraId="5CEDDB85">
      <w:pPr>
        <w:spacing w:line="240" w:lineRule="auto"/>
        <w:jc w:val="center"/>
        <w:rPr>
          <w:rFonts w:hint="default"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Студентка МГУ имени М.В. Ломоносова, Москва, Россия</w:t>
      </w:r>
    </w:p>
    <w:p w14:paraId="5B933552">
      <w:pPr>
        <w:spacing w:line="240" w:lineRule="auto"/>
        <w:ind w:firstLine="709"/>
        <w:jc w:val="both"/>
        <w:rPr>
          <w:rFonts w:hint="default" w:ascii="Times New Roman" w:hAnsi="Times New Roman" w:eastAsia="Times New Roman" w:cs="Times New Roman"/>
          <w:sz w:val="24"/>
          <w:szCs w:val="24"/>
          <w:lang w:val="ru-RU"/>
        </w:rPr>
      </w:pPr>
    </w:p>
    <w:p w14:paraId="6DC6DE29">
      <w:pPr>
        <w:spacing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Пространство в нарративе, согласно социологу Дорин Мэсси [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Massey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: 179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], вбирает в себя разнообразие темпоральных траекторий и длительностей – сжимает их 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в </w:t>
      </w:r>
      <w:r>
        <w:rPr>
          <w:rFonts w:ascii="Times New Roman" w:hAnsi="Times New Roman" w:eastAsia="Times New Roman" w:cs="Times New Roman"/>
          <w:sz w:val="24"/>
          <w:szCs w:val="24"/>
        </w:rPr>
        <w:t>единую цепочку причинно-сл</w:t>
      </w:r>
      <w:bookmarkStart w:id="0" w:name="_GoBack"/>
      <w:bookmarkEnd w:id="0"/>
      <w:r>
        <w:rPr>
          <w:rFonts w:ascii="Times New Roman" w:hAnsi="Times New Roman" w:eastAsia="Times New Roman" w:cs="Times New Roman"/>
          <w:sz w:val="24"/>
          <w:szCs w:val="24"/>
        </w:rPr>
        <w:t>едственных отношений. В контексте мемориального музея это означает сосуществование противоречивых точек зрения: историка и очевидца на уровне синхронии, преступника и жертвы на уровне диахронии. Органично накладываясь друг на друга в одних случаях и стремясь к взаимному вытеснению в других, они образуют «палимпсест» памяти. Следуя определению литературоведа Сарры Диллон [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Dillon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: 4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], мы понимаем его как хитросплетение смысловых слоев, где очертания более ранних исторических пластов проступают на поверхности более поздних. Разрушение хронологии ведет к разомкнутости дискурса о неудобном прошлом, указывает на невозможность историзма в музее коллективной травмы.  </w:t>
      </w:r>
    </w:p>
    <w:p w14:paraId="0435CE41">
      <w:pPr>
        <w:spacing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Мы предполагаем, что «палимпсест» точек зрения используется в местах памяти как коммерческая стратегия, с одной стороны, и средство трансляции универсального гуманистического посыла, с другой. Способность вызывать «любопытство», которое нарратолог Дэвид Бордуэлл определяет как интерес зрителей к более ранним по хронологии событиям [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Bordwell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: 58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], мы связываем с позицией историка и гида. Манипулируя исчерпывающим объемом информации, он вовлекает посетителей в изучение фактологических аспектов истории. Напротив, способность транслировать довербальный «аффект» мы соотносим с фигурой очевидца и жертвы, чей опыт строится на недостатке информации в момент трагедии. Непроизвольно перенося переживания на себя, посетители чувствуют эмпатию к жертвам, что прерывает автоматизм восприятия и позволяет задуматься о правах человека за пределами мемориала. </w:t>
      </w:r>
    </w:p>
    <w:p w14:paraId="1444F69E">
      <w:pPr>
        <w:spacing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Предметом анализа становится одна из видеоэкскурсий, размещенных на сайте Берлин-Хоэншёнхаузен – бывшей следственной тюрьмы Штази.  Ее «палимпсестный» характер мы последовательно рассматриваем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через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вербальн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ую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и визуальн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ую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составляющи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eastAsia="Times New Roman" w:cs="Times New Roman"/>
          <w:sz w:val="24"/>
          <w:szCs w:val="24"/>
        </w:rPr>
        <w:t>. Исследуя прагматическое измерение речи закадрового нарратора (гида и бывшего политического заключенного), мы останавливаемся на двух аспектах. Во-первых, на расхождении между объективным временем событий, обозначенным через прямые указания на темпоральность, и его субъективным переживанием изнутри заключения, отраженным в ритме рассказа. Во-вторых, на смене дейкти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ков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«они» и «вы/ты» в отношении жертвы. Оба случая размывают границу между диегетическим пространством героев и недиегетическим пространством зрителей – прошедшим и настоящим, лишая процесс восприятия стабильности и безопасности.   </w:t>
      </w:r>
    </w:p>
    <w:p w14:paraId="0F0B2CD2">
      <w:pPr>
        <w:spacing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 визуальном анализе мы отталкиваемся от детали из текста видеоэкскурсии: во время конвоирования охрана шла позади заключенного, оставаясь вне поля его зрения. Подобным образом панорама пустого тюремного коридора создает ощущение присутствия надзирателя в закадровом пространстве, закрепляя за наблюдателем позицию жертвы и поддерживая состояние аффективной напряженности. Таким образом, демонстрация служебных помещений, запретных для заключенных, способна вызывать противоречивый отклик. Удовлетворяя нарративный интерес стороннего наблюдателя, она несет угрозу наказания для персонажа внутри повествования. </w:t>
      </w:r>
    </w:p>
    <w:p w14:paraId="5C69FA04">
      <w:pPr>
        <w:spacing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Постоянно совмещая палимпсестные слои настоящего и прошлого в единое изображение, зритель видеоэкскурсий сталкивается с тем, что историк Франсуа Артог  назвал нарушенным порядком времен или ощущением принадлежности к «двум эрам» [Артог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: 107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]. В музейной практике это означает требование к соучастию в создании образа прошлого, активной включенности в нарратив как на аффективном, так и на аналитическом уровнях. </w:t>
      </w:r>
    </w:p>
    <w:p w14:paraId="1B2727EF">
      <w:p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14:paraId="7A8E5757">
      <w:pPr>
        <w:spacing w:line="240" w:lineRule="auto"/>
        <w:jc w:val="both"/>
        <w:rPr>
          <w:rFonts w:hint="default" w:ascii="Times New Roman" w:hAnsi="Times New Roman" w:eastAsia="Times New Roman"/>
          <w:sz w:val="24"/>
          <w:szCs w:val="24"/>
        </w:rPr>
      </w:pPr>
      <w:r>
        <w:rPr>
          <w:rFonts w:hint="default" w:ascii="Times New Roman" w:hAnsi="Times New Roman" w:eastAsia="Times New Roman"/>
          <w:sz w:val="24"/>
          <w:szCs w:val="24"/>
        </w:rPr>
        <w:t>Литература:</w:t>
      </w:r>
    </w:p>
    <w:p w14:paraId="21F873DD">
      <w:pPr>
        <w:numPr>
          <w:ilvl w:val="0"/>
          <w:numId w:val="1"/>
        </w:numPr>
        <w:spacing w:line="240" w:lineRule="auto"/>
        <w:ind w:left="425" w:leftChars="0" w:hanging="425" w:firstLineChars="0"/>
        <w:jc w:val="both"/>
        <w:rPr>
          <w:rFonts w:hint="default" w:ascii="Times New Roman" w:hAnsi="Times New Roman" w:eastAsia="Times New Roman"/>
          <w:sz w:val="24"/>
          <w:szCs w:val="24"/>
        </w:rPr>
      </w:pPr>
      <w:r>
        <w:rPr>
          <w:rFonts w:hint="default" w:ascii="Times New Roman" w:hAnsi="Times New Roman" w:eastAsia="Times New Roman"/>
          <w:sz w:val="24"/>
          <w:szCs w:val="24"/>
        </w:rPr>
        <w:t xml:space="preserve">Massey D. For space. Los Angeles, London, New Delhi, Singapore, Washington, 2005. </w:t>
      </w:r>
    </w:p>
    <w:p w14:paraId="1FB5F2F5">
      <w:pPr>
        <w:numPr>
          <w:ilvl w:val="0"/>
          <w:numId w:val="1"/>
        </w:numPr>
        <w:spacing w:line="240" w:lineRule="auto"/>
        <w:ind w:left="425" w:leftChars="0" w:hanging="425" w:firstLineChars="0"/>
        <w:jc w:val="both"/>
        <w:rPr>
          <w:rFonts w:hint="default" w:ascii="Times New Roman" w:hAnsi="Times New Roman" w:eastAsia="Times New Roman"/>
          <w:sz w:val="24"/>
          <w:szCs w:val="24"/>
        </w:rPr>
      </w:pPr>
      <w:r>
        <w:rPr>
          <w:rFonts w:hint="default" w:ascii="Times New Roman" w:hAnsi="Times New Roman" w:eastAsia="Times New Roman"/>
          <w:sz w:val="24"/>
          <w:szCs w:val="24"/>
        </w:rPr>
        <w:t>Dillon S. Re-inscribing De Quincey’s Palimpsest: The Significance of the Palimpsest in Contemporary Literary and Cultural Studies // Textual Practice. 2005. Vol. 19:3. P.243-263.</w:t>
      </w:r>
    </w:p>
    <w:p w14:paraId="307CE333">
      <w:pPr>
        <w:numPr>
          <w:ilvl w:val="0"/>
          <w:numId w:val="1"/>
        </w:numPr>
        <w:spacing w:line="240" w:lineRule="auto"/>
        <w:ind w:left="425" w:leftChars="0" w:hanging="425" w:firstLineChars="0"/>
        <w:jc w:val="both"/>
        <w:rPr>
          <w:rFonts w:hint="default" w:ascii="Times New Roman" w:hAnsi="Times New Roman" w:eastAsia="Times New Roman"/>
          <w:sz w:val="24"/>
          <w:szCs w:val="24"/>
        </w:rPr>
      </w:pPr>
      <w:r>
        <w:rPr>
          <w:rFonts w:hint="default" w:ascii="Times New Roman" w:hAnsi="Times New Roman" w:eastAsia="Times New Roman"/>
          <w:sz w:val="24"/>
          <w:szCs w:val="24"/>
        </w:rPr>
        <w:t xml:space="preserve">Bordwell D., Thompson K., Smith J. Film art: An introduction. New York, 2010. </w:t>
      </w:r>
    </w:p>
    <w:p w14:paraId="52537220">
      <w:pPr>
        <w:numPr>
          <w:ilvl w:val="0"/>
          <w:numId w:val="1"/>
        </w:numPr>
        <w:spacing w:line="240" w:lineRule="auto"/>
        <w:ind w:left="425" w:leftChars="0" w:hanging="425" w:firstLineChars="0"/>
        <w:jc w:val="both"/>
        <w:rPr>
          <w:rFonts w:hint="default" w:ascii="Times New Roman" w:hAnsi="Times New Roman" w:eastAsia="Times New Roman"/>
          <w:sz w:val="24"/>
          <w:szCs w:val="24"/>
        </w:rPr>
      </w:pPr>
      <w:r>
        <w:rPr>
          <w:rFonts w:hint="default" w:ascii="Times New Roman" w:hAnsi="Times New Roman" w:eastAsia="Times New Roman"/>
          <w:sz w:val="24"/>
          <w:szCs w:val="24"/>
        </w:rPr>
        <w:t>Артог Ф. Порядок времени, режимы историчности // Неприкосновенный запас. 2008. №3. С.105–122.</w:t>
      </w:r>
    </w:p>
    <w:p w14:paraId="0B428D16">
      <w:pPr>
        <w:spacing w:line="240" w:lineRule="auto"/>
        <w:jc w:val="both"/>
        <w:rPr>
          <w:rFonts w:hint="default" w:ascii="Times New Roman" w:hAnsi="Times New Roman" w:eastAsia="Times New Roman"/>
          <w:sz w:val="24"/>
          <w:szCs w:val="24"/>
        </w:rPr>
      </w:pPr>
    </w:p>
    <w:p w14:paraId="1F7A8CB9">
      <w:pPr>
        <w:spacing w:line="240" w:lineRule="auto"/>
        <w:jc w:val="both"/>
        <w:rPr>
          <w:rFonts w:hint="default" w:ascii="Times New Roman" w:hAnsi="Times New Roman" w:eastAsia="Times New Roman"/>
          <w:sz w:val="24"/>
          <w:szCs w:val="24"/>
        </w:rPr>
      </w:pPr>
    </w:p>
    <w:p w14:paraId="10F1D2BB">
      <w:p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14:paraId="66946330">
      <w:p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14:paraId="6EB232AE">
      <w:p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sectPr>
      <w:pgSz w:w="11909" w:h="16834"/>
      <w:pgMar w:top="1134" w:right="1417" w:bottom="1134" w:left="1417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E402F6DE-198B-43E7-B8B1-A9D44A39C375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88008853-6960-4B7B-83F4-CB0906D3CDC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3577EA0-B628-4656-B3E2-99665CF9BE5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FDB78529-3B98-4D87-8F16-EBDE96E2DCDD}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5" w:fontKey="{83EFF052-9B84-44D2-85EA-FBCCD6963E94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6E22D"/>
    <w:multiLevelType w:val="singleLevel"/>
    <w:tmpl w:val="8266E22D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4"/>
  </w:compat>
  <w:rsids>
    <w:rsidRoot w:val="00AC1ACE"/>
    <w:rsid w:val="00366FA1"/>
    <w:rsid w:val="00AC1ACE"/>
    <w:rsid w:val="00CC14FC"/>
    <w:rsid w:val="23743832"/>
    <w:rsid w:val="2C670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spacing w:line="276" w:lineRule="auto"/>
    </w:pPr>
    <w:rPr>
      <w:rFonts w:ascii="Arial" w:hAnsi="Arial" w:eastAsia="Arial" w:cs="Arial"/>
      <w:sz w:val="22"/>
      <w:szCs w:val="22"/>
      <w:lang w:val="ru" w:eastAsia="ru-RU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3">
    <w:name w:val="heading 2"/>
    <w:basedOn w:val="1"/>
    <w:next w:val="1"/>
    <w:uiPriority w:val="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40" w:after="80"/>
      <w:outlineLvl w:val="4"/>
    </w:pPr>
    <w:rPr>
      <w:color w:val="666666"/>
    </w:rPr>
  </w:style>
  <w:style w:type="paragraph" w:styleId="7">
    <w:name w:val="heading 6"/>
    <w:basedOn w:val="1"/>
    <w:next w:val="1"/>
    <w:uiPriority w:val="0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paragraph" w:styleId="11">
    <w:name w:val="Subtitle"/>
    <w:basedOn w:val="1"/>
    <w:next w:val="1"/>
    <w:qFormat/>
    <w:uiPriority w:val="0"/>
    <w:pPr>
      <w:keepNext/>
      <w:keepLines/>
      <w:spacing w:after="320"/>
    </w:pPr>
    <w:rPr>
      <w:color w:val="666666"/>
      <w:sz w:val="30"/>
      <w:szCs w:val="30"/>
    </w:rPr>
  </w:style>
  <w:style w:type="paragraph" w:styleId="12">
    <w:name w:val="Title"/>
    <w:basedOn w:val="1"/>
    <w:next w:val="1"/>
    <w:qFormat/>
    <w:uiPriority w:val="0"/>
    <w:pPr>
      <w:keepNext/>
      <w:keepLines/>
      <w:spacing w:after="60"/>
    </w:pPr>
    <w:rPr>
      <w:sz w:val="52"/>
      <w:szCs w:val="52"/>
    </w:rPr>
  </w:style>
  <w:style w:type="table" w:customStyle="1" w:styleId="13">
    <w:name w:val="TableNormal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604</Words>
  <Characters>3444</Characters>
  <Lines>28</Lines>
  <Paragraphs>8</Paragraphs>
  <TotalTime>29</TotalTime>
  <ScaleCrop>false</ScaleCrop>
  <LinksUpToDate>false</LinksUpToDate>
  <CharactersWithSpaces>4040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2026-03-09T18:56:00Z</dcterms:created>
  <dc:creator>оооо</dc:creator>
  <cp:lastModifiedBy>оооо</cp:lastModifiedBy>
  <dcterms:modified xsi:type="dcterms:W3CDTF">2026-03-09T19:37:20Z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7D0442D97A634CF6A49A288F7080B9A8_12</vt:lpwstr>
  </property>
</Properties>
</file>