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ind w:firstLine="709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Функции ремарок в пьесе А. Н. Арбузова «Старомодная комедия»</w:t>
      </w:r>
    </w:p>
    <w:p w14:paraId="5B92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ind w:firstLine="709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ru" w:eastAsia="zh-CN" w:bidi="ar"/>
        </w:rPr>
      </w:pPr>
    </w:p>
    <w:p w14:paraId="6EAE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ind w:firstLine="709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sz w:val="24"/>
          <w:szCs w:val="24"/>
          <w:lang w:val="ru" w:bidi="ar"/>
        </w:rPr>
        <w:t>У Сюэцин</w:t>
      </w:r>
    </w:p>
    <w:p w14:paraId="274C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709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 xml:space="preserve">Аспирант 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>Московск</w:t>
      </w: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 xml:space="preserve">государственного 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>университет</w:t>
      </w: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 xml:space="preserve"> им. М.</w:t>
      </w: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>В.</w:t>
      </w:r>
      <w:r>
        <w:rPr>
          <w:rFonts w:hint="default" w:ascii="Times New Roman" w:hAnsi="Times New Roman" w:cs="Times New Roman"/>
          <w:sz w:val="24"/>
          <w:szCs w:val="24"/>
          <w:lang w:val="ru-RU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" w:bidi="ar"/>
        </w:rPr>
        <w:t>Ломоносова, Москва, Россия</w:t>
      </w:r>
    </w:p>
    <w:p w14:paraId="75552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80F1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Слово «ремарка» происходит от французского "remarque", что означает «замечание» или «примечание»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Ланда 2000: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594]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 мнению Г.Н. Бояджиева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лавное содержание ремарки — указание места и времени действия, а также сценических поступков и психологического состояния персонажей»[Бояджиев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1935: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599]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</w:t>
      </w:r>
      <w:r>
        <w:rPr>
          <w:rFonts w:ascii="Times New Roman" w:hAnsi="Times New Roman"/>
          <w:sz w:val="24"/>
          <w:lang w:val="ru-RU"/>
        </w:rPr>
        <w:t xml:space="preserve">Ремарка в драматургии традиционно использовалась как технический элемент, и ее функции в паратексте сводились к минимуму. </w:t>
      </w:r>
    </w:p>
    <w:p w14:paraId="73F87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рубеже Х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  <w:lang w:val="ru-RU"/>
        </w:rPr>
        <w:t>Х - ХХ</w:t>
      </w:r>
      <w:r>
        <w:rPr>
          <w:rFonts w:hint="default" w:ascii="Times New Roman" w:hAnsi="Times New Roman"/>
          <w:sz w:val="24"/>
          <w:lang w:val="ru-RU"/>
        </w:rPr>
        <w:t xml:space="preserve"> веков, ремарка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значительно эволюционировала, перейдя от простого указания к значительно более широким функциям, </w:t>
      </w:r>
      <w:r>
        <w:rPr>
          <w:rFonts w:ascii="Times New Roman" w:hAnsi="Times New Roman"/>
          <w:sz w:val="24"/>
          <w:lang w:val="ru-RU"/>
        </w:rPr>
        <w:t>приобрела важное значение в выражении содержательного плана пьесы, отразила процессы лиризации и эпизации драмы в этот период.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Начиная с Чехова, усложнилась и синтаксическая структура ремарок, в них появились лирические описания. </w:t>
      </w:r>
      <w:r>
        <w:rPr>
          <w:rFonts w:ascii="Times New Roman" w:hAnsi="Times New Roman"/>
          <w:sz w:val="24"/>
          <w:lang w:val="ru-RU"/>
        </w:rPr>
        <w:t xml:space="preserve">Лишенные традиционной функциональной нагрузки, они стали незаменимым средством создания «атмосферы». </w:t>
      </w:r>
    </w:p>
    <w:p w14:paraId="48945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ascii="Times New Roman" w:hAnsi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один из наследников </w:t>
      </w:r>
      <w:r>
        <w:rPr>
          <w:rFonts w:ascii="Times New Roman" w:hAnsi="Times New Roman"/>
          <w:sz w:val="24"/>
          <w:lang w:val="ru-RU"/>
        </w:rPr>
        <w:t>чеховской психологической традиции</w:t>
      </w:r>
      <w:r>
        <w:rPr>
          <w:rFonts w:hint="default"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  <w:lang w:val="ru-RU"/>
        </w:rPr>
        <w:t>в драме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А.Н. Арбузов </w:t>
      </w:r>
      <w:r>
        <w:rPr>
          <w:rFonts w:ascii="Times New Roman" w:hAnsi="Times New Roman"/>
          <w:sz w:val="24"/>
          <w:lang w:val="ru-RU"/>
        </w:rPr>
        <w:t>также активно использует и прорабатывает ремарки, которые в его пьесах служат и для прояснения мизансцены, и для проникновения в основной замысел автора, и для создания настроения. Роль ремарок рассматривается в докладе на примере пьесы «Старомодная комедия».</w:t>
      </w:r>
    </w:p>
    <w:p w14:paraId="5C996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«Старомодная комедия»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—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одно из самых известных произведений Арбузова, </w:t>
      </w:r>
      <w:r>
        <w:rPr>
          <w:rFonts w:ascii="Times New Roman" w:hAnsi="Times New Roman"/>
          <w:sz w:val="24"/>
          <w:lang w:val="ru-RU"/>
        </w:rPr>
        <w:t>обошедшее сцены и экраны мира и до сих пор входящее в театральный репертуар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 xml:space="preserve">Кроме тех ремарок, которые указывают на место, время действия и вход/выход персонажа, в ней широкий круг ремарок иного рода: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жестовые, эмоциональные, интонационные, паузные, сценографические и литературно-повествовательные.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>Отметим несколько важных групп ремарок в пьесе.</w:t>
      </w:r>
    </w:p>
    <w:p w14:paraId="5BAEF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1 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емарки, выражающие авторскую позицию</w:t>
      </w:r>
    </w:p>
    <w:p w14:paraId="4B1D9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 начале пьесы появляется длинный пассаж литературно-повествовательного характера: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«Итак, в то памятное утро, когда Родион Николаевич просматривал какие-то деловые бумаги, перед ним и появилась впервые Лидия Васильевна, особа, которую я, к сожалению, не назвал бы молодой...Глядя на женщину, мы догадываемся, как пленительна она была в молодые годы. Впрочем...Мы можем догадаться и о том, что жизнь улыбалась ей не всегда, и все же в то утро...Одета она была не без изящества. Я повторяю — не без изящества, хотя и несколько пестро.»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[Арбузов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1981: 503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</w:p>
    <w:p w14:paraId="069F0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Эта цитата является ярким примером полифункциональности ремарки. Она выражает авторский юмор и его симпатию к героине, описывает её состояние и влияет на развитие сюжета пьесы.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Арбузов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 этой ремарке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созда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ёт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яркий женский образ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/>
          <w:sz w:val="24"/>
          <w:lang w:val="ru-RU"/>
        </w:rPr>
        <w:t>которыми так богаты его пьесы.</w:t>
      </w:r>
    </w:p>
    <w:p w14:paraId="3FA3D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 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емарки, создающие атмосферу</w:t>
      </w:r>
    </w:p>
    <w:p w14:paraId="12C1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 текстах Арбузова ремарки </w:t>
      </w:r>
      <w:r>
        <w:rPr>
          <w:rFonts w:ascii="Times New Roman" w:hAnsi="Times New Roman"/>
          <w:sz w:val="24"/>
          <w:lang w:val="ru-RU"/>
        </w:rPr>
        <w:t>как часть паратекста по сути равноправны с основным текстом – диалогами героев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Они превращаются в значимые элементы поэтики, создавая многослойность сценического восприятия. Как у Чехова, в пьесах Арбузова часто присутствуют описания пейзажа, погоды и звуков окружающей среды. Например, в начале каждого акта пьесы «Старомодная комедия» даётся информация о погоде, </w:t>
      </w:r>
      <w:r>
        <w:rPr>
          <w:rFonts w:hint="default" w:ascii="Times New Roman" w:hAnsi="Times New Roman" w:cs="Times New Roman"/>
          <w:sz w:val="24"/>
          <w:lang w:val="ru-RU"/>
        </w:rPr>
        <w:t>которая своеобразно окрашивает общую атмосферу сцен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</w:t>
      </w:r>
      <w:r>
        <w:rPr>
          <w:rFonts w:ascii="Times New Roman" w:hAnsi="Times New Roman"/>
          <w:sz w:val="24"/>
          <w:lang w:val="ru-RU"/>
        </w:rPr>
        <w:t>Дождливый день символизирует грусть и меланхолию, а солнечный — веселье и оптимизм. Музыка, которая доносится из кафе и санатория, вызывает у зрителей радостные эмоции и ощущение уюта,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а </w:t>
      </w:r>
      <w:r>
        <w:rPr>
          <w:rFonts w:ascii="Times New Roman" w:hAnsi="Times New Roman" w:eastAsia="寰蒋闆呴粦"/>
          <w:color w:val="000000"/>
          <w:sz w:val="24"/>
          <w:lang w:val="ru-RU"/>
        </w:rPr>
        <w:t>шум бури, напротив, нагнетает напряжение.</w:t>
      </w:r>
    </w:p>
    <w:p w14:paraId="34653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Ремарки,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раскрывающие внутренний мир персонажей.</w:t>
      </w:r>
    </w:p>
    <w:p w14:paraId="5FDBA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Характ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 ремарки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нередко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зависит от литературного контекста эпохи и своеобразия авторской индивидуальности, воплощённой в тексте. Н.Л. Лейдерман подчёркивает, что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«д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раматурги эпохи «оттепели» – В.С. Розов, А.М. Володин, А.Н. Арбузов – отказываются от мифотворчества, обращаются к психологической проблематике, изображают частную жизнь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[Лейдерман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иповецкий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2003: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139]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Одна из важных психологических ремарок в русской драме – молчание, пауза и в пьесе «Старомодная комедия». </w:t>
      </w:r>
      <w:r>
        <w:rPr>
          <w:rFonts w:ascii="Times New Roman" w:hAnsi="Times New Roman"/>
          <w:sz w:val="24"/>
          <w:lang w:val="ru-RU"/>
        </w:rPr>
        <w:t>Автор прибегает к такому приему, используя короткие замечания: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молчание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[Арбузов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1981: 555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],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«долгое молчание»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Там же: 559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«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пауза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Там же: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505],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которая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пауза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Там же: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512]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что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не только определяют темпоритм драматического действия,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усилива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 реалистичность диалога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но и служат инструментом для глубокого психологического анализа.</w:t>
      </w:r>
    </w:p>
    <w:p w14:paraId="13B2F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Если говорить о реализации ремарок при постановке пьесы, то </w:t>
      </w:r>
      <w:r>
        <w:rPr>
          <w:rFonts w:ascii="Times New Roman" w:hAnsi="Times New Roman"/>
          <w:sz w:val="24"/>
          <w:lang w:val="ru-RU"/>
        </w:rPr>
        <w:t>если говорить о реализации ремарок при постановке пьесы, то тонкость и выразительность паратекста Арбузова позволяет его текстам легко адаптироваться к различным режиссёрским интерпретациям.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Сравнивая верси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«Старомодной комедии», поставленны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в Театре Российской Армии, Театре Моссовета и Пекинском народном художественном театре, </w:t>
      </w:r>
      <w:r>
        <w:rPr>
          <w:rFonts w:ascii="Times New Roman" w:hAnsi="Times New Roman"/>
          <w:sz w:val="24"/>
          <w:lang w:val="ru-RU"/>
        </w:rPr>
        <w:t>мы показываем, как емкость ремарок способствует более современным адаптациям, а также переводу на язык другой национальной культуры.</w:t>
      </w:r>
    </w:p>
    <w:p w14:paraId="2C9F65A0">
      <w:pPr>
        <w:ind w:firstLine="720" w:firstLineChars="30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 w:eastAsia="zh-CN"/>
        </w:rPr>
      </w:pPr>
    </w:p>
    <w:p w14:paraId="76351A7A">
      <w:pPr>
        <w:ind w:firstLine="720" w:firstLineChars="30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 w:eastAsia="zh-CN"/>
        </w:rPr>
      </w:pPr>
    </w:p>
    <w:p w14:paraId="6C0F2FC1">
      <w:pPr>
        <w:ind w:firstLine="720" w:firstLineChars="30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 w:eastAsia="zh-CN"/>
        </w:rPr>
      </w:pPr>
    </w:p>
    <w:p w14:paraId="0D143EE6">
      <w:pPr>
        <w:ind w:firstLine="720" w:firstLineChars="30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 w:eastAsia="zh-CN"/>
        </w:rPr>
        <w:t>Список литературы</w:t>
      </w:r>
    </w:p>
    <w:p w14:paraId="42288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709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ru-RU" w:eastAsia="zh-CN" w:bidi="ar"/>
        </w:rPr>
      </w:pPr>
    </w:p>
    <w:p w14:paraId="0173F5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Арбузов А. Н. Избранное. : В 2 т. М.,1981.Т.2.</w:t>
      </w:r>
    </w:p>
    <w:p w14:paraId="703C85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Лейдерман Н. Л., Липовецкий М.Н. Лирическая тенденция в драматургии и прозе 1960‑х годов.: В 2 т. М., 2003. Т.1.</w:t>
      </w:r>
    </w:p>
    <w:p w14:paraId="7E6A03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Литературная энциклопедия</w:t>
      </w:r>
      <w:r>
        <w:rPr>
          <w:rFonts w:hint="default" w:ascii="Times New Roman" w:hAnsi="Times New Roma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/ Под ред. Луначарский А. В.: В 11 т. М., 1929–1939. Т.9</w:t>
      </w:r>
      <w:r>
        <w:rPr>
          <w:rFonts w:hint="default" w:ascii="Times New Roman" w:hAnsi="Times New Roman" w:cs="Times New Roman"/>
          <w:kern w:val="0"/>
          <w:sz w:val="24"/>
          <w:szCs w:val="24"/>
          <w:lang w:val="ru-RU" w:eastAsia="zh-CN" w:bidi="ar"/>
        </w:rPr>
        <w:t>.</w:t>
      </w:r>
    </w:p>
    <w:p w14:paraId="5DCDD6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Современный словарь иностранных слов / Под ред. Н. М. Ланда и др. М., 2000.</w:t>
      </w:r>
    </w:p>
    <w:p w14:paraId="67DFD774"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BBE67"/>
    <w:multiLevelType w:val="singleLevel"/>
    <w:tmpl w:val="745BBE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2026-03-02T17:53:15Z</dcterms:created>
  <dc:creator>吴雪菁</dc:creator>
  <cp:lastModifiedBy>她是黯淡星</cp:lastModifiedBy>
  <dcterms:modified xsi:type="dcterms:W3CDTF">2026-03-02T17:54:16Z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eyJoZGlkIjoiN2E4YzgyNjZhY2E4YTMzY2VkMjA2ODk0MzA5ZjQzYjgiLCJ1c2VySWQiOiI0MDc5MzkzNzcifQ==</vt:lpwstr>
  </property>
  <property fmtid="{D5CDD505-2E9C-101B-9397-08002B2CF9AE}" pid="4" name="ICV">
    <vt:lpwstr>8729D73F638643E29AA63F73B6BDCD20_12</vt:lpwstr>
  </property>
</Properties>
</file>