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66C1">
      <w:pPr>
        <w:pStyle w:val="5"/>
        <w:widowControl/>
        <w:shd w:val="clear" w:color="auto" w:fill="FFFFFF"/>
        <w:spacing w:beforeAutospacing="0" w:after="100" w:afterAutospacing="0"/>
        <w:jc w:val="center"/>
        <w:rPr>
          <w:rStyle w:val="10"/>
          <w:rFonts w:ascii="Times New Roman" w:hAnsi="Times New Roman" w:eastAsia="宋体"/>
          <w:b/>
          <w:bCs/>
          <w:i w:val="0"/>
          <w:shd w:val="clear" w:color="auto" w:fill="FFFFFF"/>
          <w:lang w:val="ru-RU"/>
        </w:rPr>
      </w:pPr>
      <w:r>
        <w:rPr>
          <w:rStyle w:val="10"/>
          <w:rFonts w:ascii="Times New Roman" w:hAnsi="Times New Roman" w:eastAsia="宋体"/>
          <w:b/>
          <w:bCs/>
          <w:i w:val="0"/>
          <w:shd w:val="clear" w:color="auto" w:fill="FFFFFF"/>
          <w:lang w:val="ru-RU"/>
        </w:rPr>
        <w:t>Замятинские «строптивицы» и «бунтарки»: к вопросу о женских образах в раннем творчестве Е. Замятина</w:t>
      </w:r>
    </w:p>
    <w:p w14:paraId="0351C618">
      <w:pPr>
        <w:pStyle w:val="5"/>
        <w:widowControl/>
        <w:shd w:val="clear" w:color="auto" w:fill="FFFFFF"/>
        <w:spacing w:beforeAutospacing="0" w:after="100" w:afterAutospacing="0"/>
        <w:jc w:val="center"/>
        <w:rPr>
          <w:rStyle w:val="10"/>
          <w:rFonts w:ascii="Times New Roman" w:hAnsi="Times New Roman" w:eastAsia="Arial"/>
          <w:i w:val="0"/>
          <w:shd w:val="clear" w:color="auto" w:fill="FFFFFF"/>
          <w:lang w:val="ru-RU"/>
        </w:rPr>
      </w:pPr>
      <w:r>
        <w:rPr>
          <w:rStyle w:val="10"/>
          <w:rFonts w:ascii="Times New Roman" w:hAnsi="Times New Roman" w:eastAsia="Arial"/>
          <w:i w:val="0"/>
          <w:shd w:val="clear" w:color="auto" w:fill="FFFFFF"/>
          <w:lang w:val="ru-RU"/>
        </w:rPr>
        <w:t>Сунь Имань</w:t>
      </w:r>
    </w:p>
    <w:p w14:paraId="7329413C">
      <w:pPr>
        <w:pStyle w:val="5"/>
        <w:widowControl/>
        <w:shd w:val="clear" w:color="auto" w:fill="FFFFFF"/>
        <w:spacing w:beforeAutospacing="0" w:after="100" w:afterAutospacing="0"/>
        <w:jc w:val="center"/>
        <w:rPr>
          <w:rFonts w:ascii="Times New Roman" w:hAnsi="Times New Roman" w:eastAsia="Arial"/>
          <w:lang w:val="ru-RU"/>
        </w:rPr>
      </w:pPr>
      <w:r>
        <w:rPr>
          <w:rStyle w:val="10"/>
          <w:rFonts w:ascii="Times New Roman" w:hAnsi="Times New Roman" w:eastAsia="Arial"/>
          <w:i w:val="0"/>
          <w:shd w:val="clear" w:color="auto" w:fill="FFFFFF"/>
          <w:lang w:val="ru-RU"/>
        </w:rPr>
        <w:t>Аспирант</w:t>
      </w:r>
      <w:r>
        <w:rPr>
          <w:rStyle w:val="10"/>
          <w:rFonts w:hint="eastAsia" w:ascii="Times New Roman" w:hAnsi="Times New Roman" w:eastAsia="宋体"/>
          <w:i w:val="0"/>
          <w:shd w:val="clear" w:color="auto" w:fill="FFFFFF"/>
          <w:lang w:val="ru-RU"/>
        </w:rPr>
        <w:t xml:space="preserve"> </w:t>
      </w:r>
      <w:r>
        <w:rPr>
          <w:rStyle w:val="10"/>
          <w:rFonts w:ascii="Times New Roman" w:hAnsi="Times New Roman" w:eastAsia="Arial"/>
          <w:i w:val="0"/>
          <w:shd w:val="clear" w:color="auto" w:fill="FFFFFF"/>
          <w:lang w:val="ru-RU"/>
        </w:rPr>
        <w:t>Московского государственного университета имени М.В.Ломоносова, Москва, Россия</w:t>
      </w:r>
    </w:p>
    <w:p w14:paraId="10B895AF">
      <w:pPr>
        <w:pStyle w:val="5"/>
        <w:widowControl/>
        <w:shd w:val="clear" w:color="auto" w:fill="FFFFFF"/>
        <w:spacing w:beforeAutospacing="0" w:after="100" w:afterAutospacing="0"/>
        <w:jc w:val="center"/>
        <w:rPr>
          <w:rFonts w:ascii="Times New Roman" w:hAnsi="Times New Roman" w:eastAsia="宋体"/>
          <w:kern w:val="18"/>
        </w:rPr>
      </w:pPr>
      <w:r>
        <w:rPr>
          <w:rStyle w:val="10"/>
          <w:rFonts w:ascii="Times New Roman" w:hAnsi="Times New Roman" w:eastAsia="Arial"/>
          <w:i w:val="0"/>
          <w:shd w:val="clear" w:color="auto" w:fill="FFFFFF"/>
        </w:rPr>
        <w:t xml:space="preserve">E–mail: </w:t>
      </w:r>
      <w:r>
        <w:rPr>
          <w:rStyle w:val="10"/>
          <w:rFonts w:ascii="Times New Roman" w:hAnsi="Times New Roman" w:eastAsia="宋体"/>
          <w:i w:val="0"/>
          <w:shd w:val="clear" w:color="auto" w:fill="FFFFFF"/>
        </w:rPr>
        <w:t>sym02005@bfsu.edu.cn</w:t>
      </w:r>
    </w:p>
    <w:p w14:paraId="145320EF">
      <w:pPr>
        <w:ind w:firstLine="709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В русской культуре обобщенные представления об «идеальных» героинях писателей-классиков утвердились в качестве прецедентных имен или образов («тургеневская барышня», «некрасовская женщина» и т.п.). Философская и поэтическая мысль начала ХХ века закрепила в массовом сознании образы Прекрасной дамы и Незнакомки Блока, в которых по-разному преломились представления художника о соловьевской Софии и Вечной женственности. Разумеется, имена далеко не всех героинь стали нарицательными, однако нельзя отрицать тот факт, что в сознании читателей живут некие общие представления о героинях (или обобщенном образе героини) Бунина, Куприна и др. – при том, что в их творчестве наблюдается разнообразие женских типов и характеров.  </w:t>
      </w:r>
    </w:p>
    <w:p w14:paraId="542339CE">
      <w:pPr>
        <w:ind w:firstLine="709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Думается, можно обнаружить и некие инвариантные черты в женских образах Е. Замятина – писателя, который именовал себя еретиком. Бунтарский дух Замятина проявляется не только в том, что он наделяет им и своих героинь, но и в том, что он подвергает пародийному переосмыслению «святая святых» русской культуры – те свойства женской натуры, которые традиционно подавались как «идеальные», – смирение, кротость, преобладание духовного над плотским, телесным. Замятин «переворачивает» традиционную систему ценностей, создавая образы строптивиц, которые восхищают его смелостью, страстностью, а также – не в последнюю очередь – чувственностью, которая может сочетаться как с телесной мощью, так и с хрупкостью, грацией. Сопоставление с животными или неодушевленными предметами (часто за счет некоей «геометризации» облика) может служить не только снижению, но и поэтизации образа. Так, зооморфные характеристики – «мышонок», «дикая коза», «пушистый зверёк»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 xml:space="preserve"> [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Замятин 2003: 147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 xml:space="preserve">] 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в повести «На куличках» – выступают как внешняя проекция душевных состояний хрупкости и беззащитности Маруси. «Змеиное тело» и «ворон на белом снегу»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 xml:space="preserve"> [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Там же: 69–72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>]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 в «Девушке» – экстериоризированное проявление любовного томления, ведущего к падению героини. В повести «Алатырь» превалирующее в героине чувственное начало, казалось бы, подвергается снижению, о чем свидетельствует такое ее именование, как «собачея»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 xml:space="preserve"> [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Там же: 274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>]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, однако сопутствующие ее образу мотивы луны, ночи выявляют ее естественную, земную чувственность, создавая своеобразный «природно-телесный код» и формируя фольклорно-мифологическую картину мира.</w:t>
      </w:r>
    </w:p>
    <w:p w14:paraId="666D6A87">
      <w:pPr>
        <w:ind w:firstLine="709"/>
        <w:rPr>
          <w:rFonts w:ascii="Times New Roman" w:hAnsi="Times New Roman" w:eastAsia="宋体" w:cs="Times New Roman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Замятинский психологизм, направленный на выявление особенностей женской психики, позволяет увидеть архетипические, «пиковые» моменты, связанные со страхом утраты ребенка, с жаждой материнства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 xml:space="preserve"> 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и стремлением к телесной зрелости. Так, судьба Афимьи в рассказе «Чрево»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 представлена такими «этапами», как прелюбодеяние → беременность → потеря беременности → преступление. </w:t>
      </w:r>
      <w:bookmarkStart w:id="0" w:name="_GoBack"/>
      <w:bookmarkEnd w:id="0"/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>Можно предположить, что столь пристальное внимание Замятина к проблемам материнства во многом предопределено жизненным опытом писателя и, вероятно, проекцией его личной трагедии (отсутствием детей)</w:t>
      </w:r>
      <w:r>
        <w:rPr>
          <w:rFonts w:hint="eastAsia" w:ascii="Times New Roman" w:hAnsi="Times New Roman" w:eastAsia="宋体" w:cs="Times New Roman"/>
          <w:kern w:val="0"/>
          <w:sz w:val="24"/>
          <w:lang w:val="ru-RU" w:bidi="ar"/>
        </w:rPr>
        <w:t xml:space="preserve"> [Cavendish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 2000: 739</w:t>
      </w:r>
      <w:r>
        <w:rPr>
          <w:rFonts w:hint="eastAsia" w:ascii="Times New Roman" w:hAnsi="Times New Roman" w:eastAsia="宋体" w:cs="Times New Roman"/>
          <w:kern w:val="0"/>
          <w:sz w:val="24"/>
          <w:lang w:val="ru-RU" w:bidi="ar"/>
        </w:rPr>
        <w:t>]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. </w:t>
      </w:r>
    </w:p>
    <w:p w14:paraId="0E9C9CF4">
      <w:pPr>
        <w:ind w:firstLine="709"/>
        <w:rPr>
          <w:rFonts w:ascii="Times New Roman" w:hAnsi="Times New Roman" w:eastAsia="宋体" w:cs="Times New Roman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При этом Замятин отдает предпочтение косвенному психологизму, редко прибегая к внутреннему монологу или технике потока сознания, в результате чего внутренний мир женщины, как правило, остается не до конца открытым для читателя. На наш взгляд, в таком подходе проявляется не только деликатность писателя, но и его стремление к поэтизации женщины, которая всегда в той или иной степени остается загадкой для мужчины (и даже для художника слова).  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 </w:t>
      </w:r>
    </w:p>
    <w:p w14:paraId="293E034D">
      <w:pPr>
        <w:ind w:firstLine="709"/>
        <w:rPr>
          <w:rFonts w:ascii="Times New Roman" w:hAnsi="Times New Roman" w:eastAsia="宋体" w:cs="Times New Roman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>Интересно, что последовательному снижению подвергается, как правило, не сугубо женское, но то, что противоречит женской природе. Так, в отношениях Чеботарихи и Барыбы наблюдается инверсия традиционной патриархальной (точнее – патриархатной, или андроцентрической) структуры: Замятин «вписывает» мужские начала в женский образ, что, как нам кажется, иронически отсылает читателя к категории</w:t>
      </w:r>
      <w:r>
        <w:rPr>
          <w:rFonts w:hint="eastAsia" w:ascii="Times New Roman" w:hAnsi="Times New Roman" w:eastAsia="宋体" w:cs="Times New Roman"/>
          <w:kern w:val="0"/>
          <w:sz w:val="24"/>
          <w:lang w:val="ru-RU" w:bidi="ar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«Вечной женственности».   </w:t>
      </w:r>
    </w:p>
    <w:p w14:paraId="4B115F76">
      <w:pPr>
        <w:ind w:firstLine="709"/>
        <w:rPr>
          <w:rFonts w:ascii="Times New Roman" w:hAnsi="Times New Roman" w:eastAsia="宋体" w:cs="Times New Roman"/>
          <w:kern w:val="0"/>
          <w:sz w:val="24"/>
          <w:lang w:val="ru-RU" w:bidi="ar"/>
        </w:rPr>
      </w:pP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Таким образом, уже на уровне рассмотрения ранних произведений писателя можно рассуждать об узнаваемом замятинском подходе к рассмотрению женской психики и к способам изображения женских характеров. Приемы, освоенные писателем в малой прозе, получат законченное выражение в романе «Мы» и пьесах 1920-х гг. И даже если в русской литературе не утвердится представление о «замятинской героине», сложно игнорировать наличие узнаваемых черт в образах героинь Е. Замятина. </w:t>
      </w:r>
    </w:p>
    <w:p w14:paraId="74881E6F">
      <w:pPr>
        <w:ind w:firstLine="397"/>
        <w:rPr>
          <w:rFonts w:ascii="Times New Roman" w:hAnsi="Times New Roman" w:eastAsia="宋体" w:cs="Times New Roman"/>
          <w:color w:val="000000"/>
          <w:kern w:val="0"/>
          <w:sz w:val="24"/>
          <w:lang w:val="ru-RU" w:bidi="ar"/>
        </w:rPr>
      </w:pPr>
    </w:p>
    <w:p w14:paraId="25049019">
      <w:pPr>
        <w:rPr>
          <w:rFonts w:ascii="Times New Roman" w:hAnsi="Times New Roman" w:eastAsia="宋体" w:cs="Times New Roman"/>
          <w:b/>
          <w:bCs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b/>
          <w:bCs/>
          <w:kern w:val="18"/>
          <w:sz w:val="24"/>
          <w:lang w:val="ru-RU"/>
        </w:rPr>
        <w:t>Литература</w:t>
      </w:r>
    </w:p>
    <w:p w14:paraId="3B18C7A7">
      <w:pPr>
        <w:pStyle w:val="4"/>
        <w:rPr>
          <w:rFonts w:ascii="Times New Roman" w:hAnsi="Times New Roman" w:eastAsia="宋体" w:cs="Times New Roman"/>
          <w:kern w:val="0"/>
          <w:sz w:val="24"/>
          <w:lang w:bidi="ar"/>
        </w:rPr>
      </w:pPr>
      <w:r>
        <w:rPr>
          <w:rFonts w:ascii="Times New Roman" w:hAnsi="Times New Roman" w:eastAsia="宋体" w:cs="Times New Roman"/>
          <w:i/>
          <w:iCs/>
          <w:kern w:val="0"/>
          <w:sz w:val="24"/>
          <w:lang w:val="ru-RU" w:bidi="ar"/>
        </w:rPr>
        <w:t>Замятин Е.И.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 xml:space="preserve"> Полн. собр. соч.: В 5 т. М., 2002. Т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>.1.</w:t>
      </w:r>
    </w:p>
    <w:p w14:paraId="40B030D4">
      <w:pPr>
        <w:rPr>
          <w:rFonts w:ascii="Times New Roman" w:hAnsi="Times New Roman" w:eastAsia="宋体" w:cs="Times New Roman"/>
          <w:kern w:val="0"/>
          <w:sz w:val="24"/>
          <w:lang w:val="ru-RU" w:bidi="ar"/>
        </w:rPr>
      </w:pPr>
      <w:r>
        <w:rPr>
          <w:rFonts w:hint="eastAsia" w:ascii="Times New Roman" w:hAnsi="Times New Roman" w:eastAsia="宋体" w:cs="Times New Roman"/>
          <w:i/>
          <w:iCs/>
          <w:kern w:val="0"/>
          <w:sz w:val="24"/>
          <w:lang w:bidi="ar"/>
        </w:rPr>
        <w:t>Cavendish P.J.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 xml:space="preserve">Evgenii Zamiatin in the 1990s: A Reassessment </w:t>
      </w:r>
      <w:r>
        <w:rPr>
          <w:rFonts w:hint="eastAsia" w:ascii="Times New Roman" w:hAnsi="Times New Roman" w:eastAsia="宋体" w:cs="Times New Roman"/>
          <w:kern w:val="0"/>
          <w:sz w:val="24"/>
          <w:lang w:bidi="ar"/>
        </w:rPr>
        <w:t>/</w:t>
      </w:r>
      <w:r>
        <w:rPr>
          <w:rFonts w:ascii="Times New Roman" w:hAnsi="Times New Roman" w:eastAsia="宋体" w:cs="Times New Roman"/>
          <w:kern w:val="0"/>
          <w:sz w:val="24"/>
          <w:lang w:bidi="ar"/>
        </w:rPr>
        <w:t xml:space="preserve">/ The Slavonic and East European Review. </w:t>
      </w:r>
      <w:r>
        <w:rPr>
          <w:rFonts w:ascii="Times New Roman" w:hAnsi="Times New Roman" w:eastAsia="宋体" w:cs="Times New Roman"/>
          <w:kern w:val="0"/>
          <w:sz w:val="24"/>
          <w:lang w:val="ru-RU" w:bidi="ar"/>
        </w:rPr>
        <w:t>2000. № 4. С. 739</w:t>
      </w:r>
      <w:r>
        <w:rPr>
          <w:rFonts w:hint="eastAsia" w:ascii="Times New Roman" w:hAnsi="Times New Roman" w:eastAsia="宋体" w:cs="Times New Roman"/>
          <w:kern w:val="0"/>
          <w:sz w:val="24"/>
          <w:lang w:val="ru-RU" w:bidi="ar"/>
        </w:rPr>
        <w:t>.</w:t>
      </w:r>
    </w:p>
    <w:sectPr>
      <w:endnotePr>
        <w:numFmt w:val="decimal"/>
      </w:endnote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420127B5"/>
    <w:rsid w:val="00180369"/>
    <w:rsid w:val="002C580B"/>
    <w:rsid w:val="00323737"/>
    <w:rsid w:val="00327696"/>
    <w:rsid w:val="003B0C97"/>
    <w:rsid w:val="00404CC8"/>
    <w:rsid w:val="004211CD"/>
    <w:rsid w:val="004E2D69"/>
    <w:rsid w:val="00537DC8"/>
    <w:rsid w:val="005724BA"/>
    <w:rsid w:val="0068756B"/>
    <w:rsid w:val="00725E07"/>
    <w:rsid w:val="00752F29"/>
    <w:rsid w:val="00784462"/>
    <w:rsid w:val="007B310C"/>
    <w:rsid w:val="007C0C3F"/>
    <w:rsid w:val="007C27AC"/>
    <w:rsid w:val="007E50BE"/>
    <w:rsid w:val="00871B8B"/>
    <w:rsid w:val="00895940"/>
    <w:rsid w:val="008D190B"/>
    <w:rsid w:val="008F1C70"/>
    <w:rsid w:val="009A74F1"/>
    <w:rsid w:val="009D2EA5"/>
    <w:rsid w:val="009E0F93"/>
    <w:rsid w:val="00A21491"/>
    <w:rsid w:val="00A9635A"/>
    <w:rsid w:val="00B62E84"/>
    <w:rsid w:val="00C66589"/>
    <w:rsid w:val="00CE1F92"/>
    <w:rsid w:val="00E75980"/>
    <w:rsid w:val="00E8083D"/>
    <w:rsid w:val="00F4236C"/>
    <w:rsid w:val="00FA003E"/>
    <w:rsid w:val="00FC20CD"/>
    <w:rsid w:val="00FF048E"/>
    <w:rsid w:val="00FF58CD"/>
    <w:rsid w:val="070A0B24"/>
    <w:rsid w:val="0C2D2A0F"/>
    <w:rsid w:val="155838BF"/>
    <w:rsid w:val="164D0F49"/>
    <w:rsid w:val="1C1B5646"/>
    <w:rsid w:val="201C373B"/>
    <w:rsid w:val="20A11E2E"/>
    <w:rsid w:val="277D0F63"/>
    <w:rsid w:val="29471810"/>
    <w:rsid w:val="2E9B527F"/>
    <w:rsid w:val="33A55747"/>
    <w:rsid w:val="351F18AB"/>
    <w:rsid w:val="3F161F71"/>
    <w:rsid w:val="419158DF"/>
    <w:rsid w:val="420127B5"/>
    <w:rsid w:val="4E6D1482"/>
    <w:rsid w:val="50F5696E"/>
    <w:rsid w:val="55E63D4F"/>
    <w:rsid w:val="57740BD1"/>
    <w:rsid w:val="59E55EF5"/>
    <w:rsid w:val="5E2D4789"/>
    <w:rsid w:val="60C74A21"/>
    <w:rsid w:val="6B4C1D98"/>
    <w:rsid w:val="6C6742EC"/>
    <w:rsid w:val="739C3AEB"/>
    <w:rsid w:val="75B62796"/>
    <w:rsid w:val="783B47F8"/>
    <w:rsid w:val="7AE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qFormat/>
    <w:uiPriority w:val="0"/>
    <w:rPr>
      <w:vertAlign w:val="superscript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footnote reference"/>
    <w:basedOn w:val="7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4097</Characters>
  <Lines>69</Lines>
  <Paragraphs>14</Paragraphs>
  <TotalTime>22</TotalTime>
  <ScaleCrop>false</ScaleCrop>
  <LinksUpToDate>false</LinksUpToDate>
  <CharactersWithSpaces>4718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2026-02-22T19:28:00Z</dcterms:created>
  <dc:creator>孙慢慢</dc:creator>
  <cp:lastModifiedBy>孙慢慢</cp:lastModifiedBy>
  <dcterms:modified xsi:type="dcterms:W3CDTF">2026-03-10T10:43:49Z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658855E0F17F457A9A6CC80FEBE8FDCE_13</vt:lpwstr>
  </property>
  <property fmtid="{D5CDD505-2E9C-101B-9397-08002B2CF9AE}" pid="4" name="KSOTemplateDocerSaveRecord">
    <vt:lpwstr>eyJoZGlkIjoiMWUwM2M0YTEyMWNkODhlODVmNGRhNDg3YjM2NWI0MjIiLCJ1c2VySWQiOiIzMjIyNzk5OTYifQ==</vt:lpwstr>
  </property>
</Properties>
</file>