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1DEE8A9E" w:rsidR="00413C91" w:rsidRPr="005307A0" w:rsidRDefault="003E48C3" w:rsidP="003E48C3">
      <w:pPr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07A0">
        <w:rPr>
          <w:rFonts w:ascii="Times New Roman" w:eastAsia="Times New Roman" w:hAnsi="Times New Roman" w:cs="Times New Roman"/>
          <w:sz w:val="24"/>
          <w:szCs w:val="24"/>
        </w:rPr>
        <w:t>“Полемическая преемственность: рецепция Ф. М. Достоевского в творчестве В. В. Набокова”</w:t>
      </w:r>
    </w:p>
    <w:p w14:paraId="00000002" w14:textId="63488798" w:rsidR="00413C91" w:rsidRPr="005307A0" w:rsidRDefault="003E48C3" w:rsidP="00530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307A0">
        <w:rPr>
          <w:rFonts w:ascii="Times New Roman" w:eastAsia="Times New Roman" w:hAnsi="Times New Roman" w:cs="Times New Roman"/>
          <w:sz w:val="24"/>
          <w:szCs w:val="24"/>
        </w:rPr>
        <w:t>Голубкова</w:t>
      </w:r>
      <w:proofErr w:type="spell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Алина Евгеньевна</w:t>
      </w:r>
    </w:p>
    <w:p w14:paraId="00000003" w14:textId="77777777" w:rsidR="00413C91" w:rsidRPr="005307A0" w:rsidRDefault="003E48C3" w:rsidP="005307A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07A0">
        <w:rPr>
          <w:rFonts w:ascii="Times New Roman" w:eastAsia="Times New Roman" w:hAnsi="Times New Roman" w:cs="Times New Roman"/>
          <w:sz w:val="24"/>
          <w:szCs w:val="24"/>
        </w:rPr>
        <w:t>Студентка Московского Государственного Университета им. М. В. Ломоносова, Москва, Россия</w:t>
      </w:r>
    </w:p>
    <w:p w14:paraId="00000004" w14:textId="3B7EC213" w:rsidR="00413C91" w:rsidRPr="005307A0" w:rsidRDefault="00E9476C" w:rsidP="003E48C3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Взаимоотношения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Набокова с наследием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3E48C3" w:rsidRPr="005307A0">
        <w:rPr>
          <w:rFonts w:ascii="Times New Roman" w:eastAsia="Times New Roman" w:hAnsi="Times New Roman" w:cs="Times New Roman"/>
          <w:sz w:val="24"/>
          <w:szCs w:val="24"/>
        </w:rPr>
        <w:t xml:space="preserve">Достоевского - один из самых парадоксальных сюжетов в истории русской литературы XX века. На первый взгляд все однозначно: Набоков-эссеист последовательно критикует Достоевского как писателя. В “Лекциях по русской литературе” [Набоков 2010] он резко высказывается в адрес предшественника: “Достоевский писатель не великий, а довольно </w:t>
      </w:r>
      <w:proofErr w:type="gramStart"/>
      <w:r w:rsidR="003E48C3" w:rsidRPr="005307A0">
        <w:rPr>
          <w:rFonts w:ascii="Times New Roman" w:eastAsia="Times New Roman" w:hAnsi="Times New Roman" w:cs="Times New Roman"/>
          <w:sz w:val="24"/>
          <w:szCs w:val="24"/>
        </w:rPr>
        <w:t>посредственный</w:t>
      </w:r>
      <w:proofErr w:type="gramEnd"/>
      <w:r w:rsidR="003E48C3" w:rsidRPr="005307A0">
        <w:rPr>
          <w:rFonts w:ascii="Times New Roman" w:eastAsia="Times New Roman" w:hAnsi="Times New Roman" w:cs="Times New Roman"/>
          <w:sz w:val="24"/>
          <w:szCs w:val="24"/>
        </w:rPr>
        <w:t>, со вспышками непревзойденного юмора, которые, увы, чередуются с длинными пустошами литературных банальностей” [Набоков 2010: 164]  Однако за декларативным неприятием скрывается детальное знание текстов “противника” и постоянное переосмысление их в своём творчестве. Такое пристальное внимание к произведениям Достоевского позволяет утверждать, что отношение Набокова к коллеге не было столь однозначно негативны</w:t>
      </w:r>
      <w:r w:rsidR="00321724">
        <w:rPr>
          <w:rFonts w:ascii="Times New Roman" w:eastAsia="Times New Roman" w:hAnsi="Times New Roman" w:cs="Times New Roman"/>
          <w:sz w:val="24"/>
          <w:szCs w:val="24"/>
        </w:rPr>
        <w:t>м,</w:t>
      </w:r>
      <w:r w:rsidR="0032172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bookmarkStart w:id="0" w:name="_GoBack"/>
      <w:bookmarkEnd w:id="0"/>
      <w:r w:rsidR="003E48C3" w:rsidRPr="005307A0">
        <w:rPr>
          <w:rFonts w:ascii="Times New Roman" w:eastAsia="Times New Roman" w:hAnsi="Times New Roman" w:cs="Times New Roman"/>
          <w:sz w:val="24"/>
          <w:szCs w:val="24"/>
        </w:rPr>
        <w:t xml:space="preserve">и существует круг проблем, требующий тщательного изучения. </w:t>
      </w:r>
    </w:p>
    <w:p w14:paraId="00000005" w14:textId="410A12CB" w:rsidR="00413C91" w:rsidRPr="005307A0" w:rsidRDefault="003E48C3" w:rsidP="005307A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7A0">
        <w:rPr>
          <w:rFonts w:ascii="Times New Roman" w:eastAsia="Times New Roman" w:hAnsi="Times New Roman" w:cs="Times New Roman"/>
          <w:sz w:val="24"/>
          <w:szCs w:val="24"/>
        </w:rPr>
        <w:tab/>
      </w:r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>В романе “З</w:t>
      </w:r>
      <w:r w:rsidR="001D2457">
        <w:rPr>
          <w:rFonts w:ascii="Times New Roman" w:eastAsia="Times New Roman" w:hAnsi="Times New Roman" w:cs="Times New Roman"/>
          <w:sz w:val="24"/>
          <w:szCs w:val="24"/>
        </w:rPr>
        <w:t>ащита Лужина” [Набоков</w:t>
      </w:r>
      <w:r w:rsidR="001D245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2004</w:t>
      </w:r>
      <w:r w:rsidR="00E9476C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="00E9476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E9476C">
        <w:rPr>
          <w:rFonts w:ascii="Times New Roman" w:eastAsia="Times New Roman" w:hAnsi="Times New Roman" w:cs="Times New Roman"/>
          <w:sz w:val="24"/>
          <w:szCs w:val="24"/>
        </w:rPr>
        <w:t>Т.</w:t>
      </w:r>
      <w:r w:rsidR="00E9476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>2.]</w:t>
      </w:r>
      <w:proofErr w:type="gram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>Набоков вступает в диалогическую полемику с романом Достоевского “Преступление и наказание” [Достоевский 2024:</w:t>
      </w:r>
      <w:proofErr w:type="gram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>Т. 5.].</w:t>
      </w:r>
      <w:proofErr w:type="gram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Писатель проводит параллели между Лужиным-шахматистом и Лужиным-чиновником, выявляя их сходства: общую фамилию, </w:t>
      </w:r>
      <w:proofErr w:type="spellStart"/>
      <w:r w:rsidRPr="005307A0">
        <w:rPr>
          <w:rFonts w:ascii="Times New Roman" w:eastAsia="Times New Roman" w:hAnsi="Times New Roman" w:cs="Times New Roman"/>
          <w:sz w:val="24"/>
          <w:szCs w:val="24"/>
        </w:rPr>
        <w:t>негероичность</w:t>
      </w:r>
      <w:proofErr w:type="spell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, жениховство. Набоков пытается исправить и оправдать героя Достоевского, который в “Преступлении и наказании” предстает законченным </w:t>
      </w:r>
      <w:proofErr w:type="spellStart"/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>подлецом</w:t>
      </w:r>
      <w:proofErr w:type="spellEnd"/>
      <w:proofErr w:type="gram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. Если Пётр Петрович Лужин - отрицательный персонаж, то Александр Иванович Лужин - трагическая фигура.  Набоков предъявляет претензию предшественнику: тот изменил своей “достоевской сути” - стремлению оправдать человека, исправить его через покаяние. </w:t>
      </w:r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>Кроме того, видна схожесть набоковского героя не столько с Лужиным из “Преступления и наказания”, сколько с князем Мышкиным из романа “Идиот” [Там же:</w:t>
      </w:r>
      <w:proofErr w:type="gram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>Т. 6.].</w:t>
      </w:r>
      <w:proofErr w:type="gram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Оба персонажа искренни и косноязычны, но симпатичны именно благодаря этим чертам. И Лужина, и Мышкина окружающие принимают за умалишенных. Сумасшествие Лужина описано по-достоевски и продолжает традицию сходящего с ума в течение романа героя Фёдора Михайловича. Так же, как в “Идиоте”, семья невесты устраивает скандал в связи с психическим нездоровьем жениха. Подобно Мышкину, заснувшему в ожидании </w:t>
      </w:r>
      <w:proofErr w:type="spellStart"/>
      <w:r w:rsidRPr="005307A0">
        <w:rPr>
          <w:rFonts w:ascii="Times New Roman" w:eastAsia="Times New Roman" w:hAnsi="Times New Roman" w:cs="Times New Roman"/>
          <w:sz w:val="24"/>
          <w:szCs w:val="24"/>
        </w:rPr>
        <w:t>Аглаи</w:t>
      </w:r>
      <w:proofErr w:type="spell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, оказывается спящим и набоковский герой, каким его и находит жена в первую брачную ночь. Переосмысляя Достоевского, Набоков отказывается от религиозного дискурса, но сохраняет конфликт человека с враждебной ему действительностью. </w:t>
      </w:r>
    </w:p>
    <w:p w14:paraId="00000006" w14:textId="38E0A683" w:rsidR="00413C91" w:rsidRPr="005307A0" w:rsidRDefault="003E48C3" w:rsidP="005307A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>В романе “Отчаяние” [Там же:</w:t>
      </w:r>
      <w:proofErr w:type="gram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>Т. 3.] полемика обретает более отчетливые очертания.</w:t>
      </w:r>
      <w:proofErr w:type="gram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Набоков напрямую осп</w:t>
      </w:r>
      <w:r w:rsidR="00C51D62">
        <w:rPr>
          <w:rFonts w:ascii="Times New Roman" w:eastAsia="Times New Roman" w:hAnsi="Times New Roman" w:cs="Times New Roman"/>
          <w:sz w:val="24"/>
          <w:szCs w:val="24"/>
        </w:rPr>
        <w:t xml:space="preserve">аривает тезис о 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>неизбежности покаяния, выдвинутый в “Преступлении и наказании”. Набоковский герой, Герман Карлович, позиционирует убийство как акт искусства. В финале персонаж переживает те же муки, что и Раскольников, однако</w:t>
      </w:r>
      <w:r w:rsidR="00E9476C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в отличие от Родиона Романовича, не признает ложность идеи, толкнувшей его на преступление. До отчаяния героя доводит то, что в провале оказывается виноват он сам. Его муки - не раскаяние, а невозможность признать себя гением. Набоков заимствует у Достоевского мотив убийства, но радикально переосмысляет его: если в “Преступлении и наказании” убийство становится поводом 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lastRenderedPageBreak/>
        <w:t>для религиозно-нравственн</w:t>
      </w:r>
      <w:r w:rsidR="00E9476C">
        <w:rPr>
          <w:rFonts w:ascii="Times New Roman" w:eastAsia="Times New Roman" w:hAnsi="Times New Roman" w:cs="Times New Roman"/>
          <w:sz w:val="24"/>
          <w:szCs w:val="24"/>
        </w:rPr>
        <w:t>ого катарсиса, то в “Отчаянии”</w:t>
      </w:r>
      <w:r w:rsidR="00E9476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>оно рассматривается сквозь призму эстетики. Автор показывает, что преступление Германа, лишенно</w:t>
      </w:r>
      <w:r w:rsidR="000B0683">
        <w:rPr>
          <w:rFonts w:ascii="Times New Roman" w:eastAsia="Times New Roman" w:hAnsi="Times New Roman" w:cs="Times New Roman"/>
          <w:sz w:val="24"/>
          <w:szCs w:val="24"/>
        </w:rPr>
        <w:t>е этического элемента,</w:t>
      </w:r>
      <w:r w:rsidR="000B06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приводит к неспособности героя обеспечить себе бессмертие через творчество. </w:t>
      </w:r>
    </w:p>
    <w:p w14:paraId="00000007" w14:textId="23EEF544" w:rsidR="00413C91" w:rsidRPr="005307A0" w:rsidRDefault="003E48C3" w:rsidP="005307A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Диалог с Достоевским раскрывается и </w:t>
      </w:r>
      <w:r w:rsidR="001D2457">
        <w:rPr>
          <w:rFonts w:ascii="Times New Roman" w:eastAsia="Times New Roman" w:hAnsi="Times New Roman" w:cs="Times New Roman"/>
          <w:sz w:val="24"/>
          <w:szCs w:val="24"/>
        </w:rPr>
        <w:t>в романе “Лолита” [</w:t>
      </w:r>
      <w:r w:rsidR="001D2457">
        <w:rPr>
          <w:rFonts w:ascii="Times New Roman" w:eastAsia="Times New Roman" w:hAnsi="Times New Roman" w:cs="Times New Roman"/>
          <w:sz w:val="24"/>
          <w:szCs w:val="24"/>
          <w:lang w:val="ru-RU"/>
        </w:rPr>
        <w:t>Набоков 1991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>], где Набоков переосмысляет тему совращения детей, обращаясь к “Бесам” [Там же:</w:t>
      </w:r>
      <w:proofErr w:type="gram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>Т. 7.]</w:t>
      </w:r>
      <w:r w:rsidR="000B0683">
        <w:rPr>
          <w:rFonts w:ascii="Times New Roman" w:eastAsia="Times New Roman" w:hAnsi="Times New Roman" w:cs="Times New Roman"/>
          <w:sz w:val="24"/>
          <w:szCs w:val="24"/>
        </w:rPr>
        <w:t xml:space="preserve"> и “Преступлению и наказанию”.</w:t>
      </w:r>
      <w:proofErr w:type="gramEnd"/>
      <w:r w:rsidR="000B06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>У Достоевского насилие над ребенком вписано в богословско‑философский дискурс о грехе и выступает символом духовного распада эпохи. Совращение маленькой девочки Ставрогиным или Свидригайловым обретает метафизический подтекст: оно знаменует величайший грех человека, утратившего связь с Богом. Самоубийство остаётся единственным исходом для героев. Набоков же выбирает иной путь: он изо</w:t>
      </w:r>
      <w:r w:rsidR="000B0683">
        <w:rPr>
          <w:rFonts w:ascii="Times New Roman" w:eastAsia="Times New Roman" w:hAnsi="Times New Roman" w:cs="Times New Roman"/>
          <w:sz w:val="24"/>
          <w:szCs w:val="24"/>
        </w:rPr>
        <w:t xml:space="preserve">бражает связь </w:t>
      </w:r>
      <w:proofErr w:type="spellStart"/>
      <w:r w:rsidR="000B0683">
        <w:rPr>
          <w:rFonts w:ascii="Times New Roman" w:eastAsia="Times New Roman" w:hAnsi="Times New Roman" w:cs="Times New Roman"/>
          <w:sz w:val="24"/>
          <w:szCs w:val="24"/>
        </w:rPr>
        <w:t>Гумберта</w:t>
      </w:r>
      <w:proofErr w:type="spellEnd"/>
      <w:r w:rsidR="000B06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с Лолитой как физическую патологию и одержимость героиней. Писатель демонстрирует, как язык и </w:t>
      </w:r>
      <w:proofErr w:type="spellStart"/>
      <w:r w:rsidRPr="005307A0">
        <w:rPr>
          <w:rFonts w:ascii="Times New Roman" w:eastAsia="Times New Roman" w:hAnsi="Times New Roman" w:cs="Times New Roman"/>
          <w:sz w:val="24"/>
          <w:szCs w:val="24"/>
        </w:rPr>
        <w:t>нарративная</w:t>
      </w:r>
      <w:proofErr w:type="spell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структура </w:t>
      </w:r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>способны</w:t>
      </w:r>
      <w:proofErr w:type="gram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307A0">
        <w:rPr>
          <w:rFonts w:ascii="Times New Roman" w:eastAsia="Times New Roman" w:hAnsi="Times New Roman" w:cs="Times New Roman"/>
          <w:sz w:val="24"/>
          <w:szCs w:val="24"/>
        </w:rPr>
        <w:t>эстетизировать</w:t>
      </w:r>
      <w:proofErr w:type="spell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зло, маскируя его подлинную природу. </w:t>
      </w:r>
      <w:proofErr w:type="spellStart"/>
      <w:r w:rsidRPr="005307A0">
        <w:rPr>
          <w:rFonts w:ascii="Times New Roman" w:eastAsia="Times New Roman" w:hAnsi="Times New Roman" w:cs="Times New Roman"/>
          <w:sz w:val="24"/>
          <w:szCs w:val="24"/>
        </w:rPr>
        <w:t>Гумберт</w:t>
      </w:r>
      <w:proofErr w:type="spellEnd"/>
      <w:r w:rsidRPr="005307A0">
        <w:rPr>
          <w:rFonts w:ascii="Times New Roman" w:eastAsia="Times New Roman" w:hAnsi="Times New Roman" w:cs="Times New Roman"/>
          <w:sz w:val="24"/>
          <w:szCs w:val="24"/>
        </w:rPr>
        <w:t>, являясь “ненадежным рассказчиком”, идеализирует свои поступки и убеждает читателей в том, что его страсть - “любовь с первого взгляда, с последнего взгляда, с извечного взгляда”</w:t>
      </w:r>
      <w:r w:rsidR="000B068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0B0683" w:rsidRPr="000B0683">
        <w:rPr>
          <w:rFonts w:ascii="Times New Roman" w:eastAsia="Times New Roman" w:hAnsi="Times New Roman" w:cs="Times New Roman"/>
          <w:sz w:val="24"/>
          <w:szCs w:val="24"/>
          <w:lang w:val="ru-RU"/>
        </w:rPr>
        <w:t>[</w:t>
      </w:r>
      <w:r w:rsidR="001D2457">
        <w:rPr>
          <w:rFonts w:ascii="Times New Roman" w:eastAsia="Times New Roman" w:hAnsi="Times New Roman" w:cs="Times New Roman"/>
          <w:sz w:val="24"/>
          <w:szCs w:val="24"/>
          <w:lang w:val="ru-RU"/>
        </w:rPr>
        <w:t>Там же:</w:t>
      </w:r>
      <w:r w:rsidR="00BB57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D2457">
        <w:rPr>
          <w:rFonts w:ascii="Times New Roman" w:eastAsia="Times New Roman" w:hAnsi="Times New Roman" w:cs="Times New Roman"/>
          <w:sz w:val="24"/>
          <w:szCs w:val="24"/>
          <w:lang w:val="ru-RU"/>
        </w:rPr>
        <w:t>297</w:t>
      </w:r>
      <w:r w:rsidR="001D2457" w:rsidRPr="001D2457">
        <w:rPr>
          <w:rFonts w:ascii="Times New Roman" w:eastAsia="Times New Roman" w:hAnsi="Times New Roman" w:cs="Times New Roman"/>
          <w:sz w:val="24"/>
          <w:szCs w:val="24"/>
          <w:lang w:val="ru-RU"/>
        </w:rPr>
        <w:t>]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Набоковский герой сравнивает себя с Данте, а Лолиту - с </w:t>
      </w:r>
      <w:proofErr w:type="spellStart"/>
      <w:r w:rsidRPr="005307A0">
        <w:rPr>
          <w:rFonts w:ascii="Times New Roman" w:eastAsia="Times New Roman" w:hAnsi="Times New Roman" w:cs="Times New Roman"/>
          <w:sz w:val="24"/>
          <w:szCs w:val="24"/>
        </w:rPr>
        <w:t>Беатриче</w:t>
      </w:r>
      <w:proofErr w:type="spellEnd"/>
      <w:r w:rsidRPr="005307A0">
        <w:rPr>
          <w:rFonts w:ascii="Times New Roman" w:eastAsia="Times New Roman" w:hAnsi="Times New Roman" w:cs="Times New Roman"/>
          <w:sz w:val="24"/>
          <w:szCs w:val="24"/>
        </w:rPr>
        <w:t>, забывая упомянуть, что Данте, в отличие от него, питал лишь платонические чувства к своей возлюбленной.</w:t>
      </w:r>
      <w:proofErr w:type="gram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Несмотря на то, что насилие у Набокова предстаёт не как метафизический симптом, а как</w:t>
      </w:r>
      <w:r w:rsidR="00C51D62">
        <w:rPr>
          <w:rFonts w:ascii="Times New Roman" w:eastAsia="Times New Roman" w:hAnsi="Times New Roman" w:cs="Times New Roman"/>
          <w:sz w:val="24"/>
          <w:szCs w:val="24"/>
        </w:rPr>
        <w:t xml:space="preserve"> психологическая патология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, оно все же остается грехом. Осознает это и сам </w:t>
      </w:r>
      <w:proofErr w:type="spellStart"/>
      <w:r w:rsidRPr="005307A0">
        <w:rPr>
          <w:rFonts w:ascii="Times New Roman" w:eastAsia="Times New Roman" w:hAnsi="Times New Roman" w:cs="Times New Roman"/>
          <w:sz w:val="24"/>
          <w:szCs w:val="24"/>
        </w:rPr>
        <w:t>Гумберт</w:t>
      </w:r>
      <w:proofErr w:type="spellEnd"/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, когда в финале романа слышит голоса детей, среди которых уже нет смеха Лолиты. </w:t>
      </w:r>
    </w:p>
    <w:p w14:paraId="00000008" w14:textId="70B481B3" w:rsidR="00413C91" w:rsidRPr="005307A0" w:rsidRDefault="003E48C3" w:rsidP="005307A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7A0">
        <w:rPr>
          <w:rFonts w:ascii="Times New Roman" w:eastAsia="Times New Roman" w:hAnsi="Times New Roman" w:cs="Times New Roman"/>
          <w:sz w:val="24"/>
          <w:szCs w:val="24"/>
        </w:rPr>
        <w:t>Примечательно, что отношение Набокова к Достоевскому эволюционировало. В подростковом возрасте он восхищался классиком, в юности относился к нему с иронией, в русскоязычный перио</w:t>
      </w:r>
      <w:r w:rsidR="00C51D62">
        <w:rPr>
          <w:rFonts w:ascii="Times New Roman" w:eastAsia="Times New Roman" w:hAnsi="Times New Roman" w:cs="Times New Roman"/>
          <w:sz w:val="24"/>
          <w:szCs w:val="24"/>
        </w:rPr>
        <w:t>д творчества полемизировал</w:t>
      </w:r>
      <w:r w:rsidR="0032172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ним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>, а в американские годы жёстко декларировал неприятие.</w:t>
      </w:r>
    </w:p>
    <w:p w14:paraId="00000009" w14:textId="28F502B5" w:rsidR="00413C91" w:rsidRPr="005307A0" w:rsidRDefault="003E48C3" w:rsidP="005307A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«полемическая преемственность» в отношении Набокова к Достоевскому предстаёт как сложный диалог, в котором резкая критика соседствует с глубокой рецепцией и творческим переосмыслением. Набоков‑критик дистанцируется от Достоевского, подвергая сомнению его художественный масштаб. Однако Набоков‑писатель в произведениях демонстрирует </w:t>
      </w:r>
      <w:proofErr w:type="spellStart"/>
      <w:r w:rsidRPr="005307A0">
        <w:rPr>
          <w:rFonts w:ascii="Times New Roman" w:eastAsia="Times New Roman" w:hAnsi="Times New Roman" w:cs="Times New Roman"/>
          <w:sz w:val="24"/>
          <w:szCs w:val="24"/>
        </w:rPr>
        <w:t>интертекстуал</w:t>
      </w:r>
      <w:r w:rsidR="00321724">
        <w:rPr>
          <w:rFonts w:ascii="Times New Roman" w:eastAsia="Times New Roman" w:hAnsi="Times New Roman" w:cs="Times New Roman"/>
          <w:sz w:val="24"/>
          <w:szCs w:val="24"/>
        </w:rPr>
        <w:t>ьные</w:t>
      </w:r>
      <w:proofErr w:type="spellEnd"/>
      <w:r w:rsidR="00321724">
        <w:rPr>
          <w:rFonts w:ascii="Times New Roman" w:eastAsia="Times New Roman" w:hAnsi="Times New Roman" w:cs="Times New Roman"/>
          <w:sz w:val="24"/>
          <w:szCs w:val="24"/>
        </w:rPr>
        <w:t xml:space="preserve"> связи</w:t>
      </w:r>
      <w:r w:rsidR="0032172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 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>предшественником - не ради отрицания, а ради переосмысления ключевых тем, мотивов и образов.</w:t>
      </w:r>
    </w:p>
    <w:p w14:paraId="0000000A" w14:textId="77777777" w:rsidR="00413C91" w:rsidRPr="005307A0" w:rsidRDefault="00413C91" w:rsidP="005307A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413C91" w:rsidRDefault="003E48C3" w:rsidP="005307A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7A0">
        <w:rPr>
          <w:rFonts w:ascii="Times New Roman" w:eastAsia="Times New Roman" w:hAnsi="Times New Roman" w:cs="Times New Roman"/>
          <w:sz w:val="24"/>
          <w:szCs w:val="24"/>
        </w:rPr>
        <w:t>Литература</w:t>
      </w:r>
    </w:p>
    <w:p w14:paraId="5067ED17" w14:textId="0342CC4F" w:rsidR="001D2457" w:rsidRPr="001D2457" w:rsidRDefault="001D2457" w:rsidP="005307A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="00C51D62">
        <w:rPr>
          <w:rFonts w:ascii="Times New Roman" w:eastAsia="Times New Roman" w:hAnsi="Times New Roman" w:cs="Times New Roman"/>
          <w:sz w:val="24"/>
          <w:szCs w:val="24"/>
          <w:lang w:val="ru-RU"/>
        </w:rPr>
        <w:t>абоков В. В. Лолита М., 1991 С.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297.</w:t>
      </w:r>
    </w:p>
    <w:p w14:paraId="0000000C" w14:textId="770980A4" w:rsidR="00413C91" w:rsidRPr="005307A0" w:rsidRDefault="003E48C3" w:rsidP="005307A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7A0">
        <w:rPr>
          <w:rFonts w:ascii="Times New Roman" w:eastAsia="Times New Roman" w:hAnsi="Times New Roman" w:cs="Times New Roman"/>
          <w:sz w:val="24"/>
          <w:szCs w:val="24"/>
        </w:rPr>
        <w:t>Набоков В. В. Лекции по р</w:t>
      </w:r>
      <w:r w:rsidR="00C51D62">
        <w:rPr>
          <w:rFonts w:ascii="Times New Roman" w:eastAsia="Times New Roman" w:hAnsi="Times New Roman" w:cs="Times New Roman"/>
          <w:sz w:val="24"/>
          <w:szCs w:val="24"/>
        </w:rPr>
        <w:t>усской литературе СПб</w:t>
      </w:r>
      <w:proofErr w:type="gramStart"/>
      <w:r w:rsidR="00C51D62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gramEnd"/>
      <w:r w:rsidR="00C51D62">
        <w:rPr>
          <w:rFonts w:ascii="Times New Roman" w:eastAsia="Times New Roman" w:hAnsi="Times New Roman" w:cs="Times New Roman"/>
          <w:sz w:val="24"/>
          <w:szCs w:val="24"/>
        </w:rPr>
        <w:t>2010 С.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164. </w:t>
      </w:r>
    </w:p>
    <w:p w14:paraId="0000000D" w14:textId="169CBC99" w:rsidR="00413C91" w:rsidRPr="001D2457" w:rsidRDefault="003E48C3" w:rsidP="005307A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307A0">
        <w:rPr>
          <w:rFonts w:ascii="Times New Roman" w:eastAsia="Times New Roman" w:hAnsi="Times New Roman" w:cs="Times New Roman"/>
          <w:sz w:val="24"/>
          <w:szCs w:val="24"/>
        </w:rPr>
        <w:t>Набоков В. В. Собрание сочинений русс</w:t>
      </w:r>
      <w:r w:rsidR="001D2457">
        <w:rPr>
          <w:rFonts w:ascii="Times New Roman" w:eastAsia="Times New Roman" w:hAnsi="Times New Roman" w:cs="Times New Roman"/>
          <w:sz w:val="24"/>
          <w:szCs w:val="24"/>
        </w:rPr>
        <w:t>кого</w:t>
      </w:r>
      <w:r w:rsidR="001D245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периода</w:t>
      </w:r>
      <w:r w:rsidR="001D24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2457">
        <w:rPr>
          <w:rFonts w:ascii="Times New Roman" w:eastAsia="Times New Roman" w:hAnsi="Times New Roman" w:cs="Times New Roman"/>
          <w:sz w:val="24"/>
          <w:szCs w:val="24"/>
          <w:lang w:val="ru-RU"/>
        </w:rPr>
        <w:t>в 5 т.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СП</w:t>
      </w:r>
      <w:r w:rsidR="00BB57C7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Start"/>
      <w:r w:rsidR="00BB57C7">
        <w:rPr>
          <w:rFonts w:ascii="Times New Roman" w:eastAsia="Times New Roman" w:hAnsi="Times New Roman" w:cs="Times New Roman"/>
          <w:sz w:val="24"/>
          <w:szCs w:val="24"/>
        </w:rPr>
        <w:t>.,</w:t>
      </w:r>
      <w:r w:rsidR="00BB57C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gramEnd"/>
      <w:r w:rsidR="001D2457">
        <w:rPr>
          <w:rFonts w:ascii="Times New Roman" w:eastAsia="Times New Roman" w:hAnsi="Times New Roman" w:cs="Times New Roman"/>
          <w:sz w:val="24"/>
          <w:szCs w:val="24"/>
          <w:lang w:val="ru-RU"/>
        </w:rPr>
        <w:t>2004</w:t>
      </w:r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D2457">
        <w:rPr>
          <w:rFonts w:ascii="Times New Roman" w:eastAsia="Times New Roman" w:hAnsi="Times New Roman" w:cs="Times New Roman"/>
          <w:sz w:val="24"/>
          <w:szCs w:val="24"/>
        </w:rPr>
        <w:t>Т. 2.</w:t>
      </w:r>
      <w:r w:rsidR="001D245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C51D62">
        <w:rPr>
          <w:rFonts w:ascii="Times New Roman" w:eastAsia="Times New Roman" w:hAnsi="Times New Roman" w:cs="Times New Roman"/>
          <w:sz w:val="24"/>
          <w:szCs w:val="24"/>
          <w:lang w:val="ru-RU"/>
        </w:rPr>
        <w:t>С.306-465</w:t>
      </w:r>
      <w:r w:rsidR="001D2457">
        <w:rPr>
          <w:rFonts w:ascii="Times New Roman" w:eastAsia="Times New Roman" w:hAnsi="Times New Roman" w:cs="Times New Roman"/>
          <w:sz w:val="24"/>
          <w:szCs w:val="24"/>
        </w:rPr>
        <w:t>, Т. 3.</w:t>
      </w:r>
      <w:r w:rsidR="00C51D6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С.394-527.</w:t>
      </w:r>
      <w:r w:rsidR="001D24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E" w14:textId="77777777" w:rsidR="00413C91" w:rsidRPr="005307A0" w:rsidRDefault="003E48C3" w:rsidP="005307A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Достоевский Ф. М. Собрание сочинений в 10 т. М., 2024. Т. 5., Т. 6., Т. 7. </w:t>
      </w:r>
    </w:p>
    <w:p w14:paraId="0000000F" w14:textId="77777777" w:rsidR="00413C91" w:rsidRPr="005307A0" w:rsidRDefault="003E48C3" w:rsidP="005307A0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07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413C91" w:rsidRPr="005307A0" w:rsidSect="005307A0">
      <w:pgSz w:w="11909" w:h="16834"/>
      <w:pgMar w:top="1134" w:right="1418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45AE031-49EB-47E2-8B17-C5EA6D9A9F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D6B9BB3-1784-444C-97F6-69AC09BCF3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7"/>
  <w:doNotDisplayPageBoundaries/>
  <w:embedTrueTypeFonts/>
  <w:proofState w:spelling="clean" w:grammar="clean"/>
  <w:defaultTabStop w:val="720"/>
  <w:autoHyphenation/>
  <w:characterSpacingControl w:val="doNotCompress"/>
  <w:compat>
    <w:compatSetting w:name="compatibilityMode" w:uri="http://schemas.microsoft.com/office/word" w:val="14"/>
  </w:compat>
  <w:rsids>
    <w:rsidRoot w:val="00413C91"/>
    <w:rsid w:val="000B0683"/>
    <w:rsid w:val="001D2457"/>
    <w:rsid w:val="00321724"/>
    <w:rsid w:val="003E48C3"/>
    <w:rsid w:val="00413C91"/>
    <w:rsid w:val="005307A0"/>
    <w:rsid w:val="00BB57C7"/>
    <w:rsid w:val="00C51D62"/>
    <w:rsid w:val="00E94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779</Words>
  <Characters>5121</Characters>
  <Application>Microsoft Office Word</Application>
  <DocSecurity>0</DocSecurity>
  <Lines>87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2026-03-09T16:23:00Z</dcterms:created>
  <dcterms:modified xsi:type="dcterms:W3CDTF">2026-03-09T19:25:00Z</dcterms:modified>
</cp:coreProperties>
</file>