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 w:after="32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outline w:val="0"/>
          <w:color w:val="0e1114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Репрезентация авторской интенциональности в современном медиатексте </w:t>
      </w:r>
      <w:r>
        <w:rPr>
          <w:rFonts w:ascii="Times New Roman" w:hAnsi="Times New Roman"/>
          <w:b w:val="1"/>
          <w:b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на примере общественно</w:t>
      </w:r>
      <w:r>
        <w:rPr>
          <w:rFonts w:ascii="Times New Roman" w:hAnsi="Times New Roman"/>
          <w:b w:val="1"/>
          <w:b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политических изданий Федерации Босния и Герцеговина</w:t>
      </w:r>
      <w:r>
        <w:rPr>
          <w:rFonts w:ascii="Times New Roman" w:hAnsi="Times New Roman"/>
          <w:b w:val="1"/>
          <w:b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)</w:t>
      </w:r>
    </w:p>
    <w:p>
      <w:pPr>
        <w:pStyle w:val="По умолчанию"/>
        <w:bidi w:val="0"/>
        <w:spacing w:before="0" w:after="32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Ульянова Полина Андреевна</w: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br w:type="textWrapping"/>
        <w:t>Студент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ка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Московск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ого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 государственн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ого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 университет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а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 имени М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В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Ломоносова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филологический факультет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Москва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Россия</w:t>
        <w:br w:type="textWrapping"/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e1114"/>
          <w:rtl w:val="0"/>
          <w:lang w:val="it-IT"/>
          <w14:textFill>
            <w14:solidFill>
              <w14:srgbClr w14:val="0F1115"/>
            </w14:solidFill>
          </w14:textFill>
        </w:rPr>
        <w:t>polina.ulyanova47@gmail.com</w:t>
      </w:r>
    </w:p>
    <w:p>
      <w:pPr>
        <w:pStyle w:val="По умолчанию"/>
        <w:bidi w:val="0"/>
        <w:spacing w:before="0" w:after="320"/>
        <w:ind w:left="0" w:right="0" w:firstLine="709"/>
        <w:jc w:val="both"/>
        <w:rPr>
          <w:rFonts w:ascii="Times New Roman" w:cs="Times New Roman" w:hAnsi="Times New Roman" w:eastAsia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В современной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коммуникативной стилистике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 проблема авторской интенции занимает центральное место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В рамках данного подхода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интенциональность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рассматривается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как ключевой текстопорождающий фактор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организующий содержательную структуру произведения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Настоящая работа посвящена анализу репрезентации авторской интенциональности в публицистических текстах ведущих общественно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политических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онлайн</w:t>
      </w:r>
      <w:r>
        <w:rPr>
          <w:rFonts w:ascii="Times New Roman" w:hAnsi="Times New Roman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изданий Федерации Босния и Герцеговина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с доменом </w:t>
      </w:r>
      <w:r>
        <w:rPr>
          <w:rFonts w:ascii="Times New Roman" w:hAnsi="Times New Roman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[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название</w:t>
      </w:r>
      <w:r>
        <w:rPr>
          <w:rFonts w:ascii="Times New Roman" w:hAnsi="Times New Roman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]</w:t>
      </w:r>
      <w:r>
        <w:rPr>
          <w:rFonts w:ascii="Times New Roman" w:hAnsi="Times New Roman"/>
          <w:outline w:val="0"/>
          <w:color w:val="0e1114"/>
          <w:rtl w:val="0"/>
          <w:lang w:val="ko-KR" w:eastAsia="ko-KR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ba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за период январь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февраль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2026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года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bidi w:val="0"/>
        <w:spacing w:before="0" w:after="320"/>
        <w:ind w:left="0" w:right="0" w:firstLine="709"/>
        <w:jc w:val="both"/>
        <w:rPr>
          <w:rFonts w:ascii="Times New Roman" w:cs="Times New Roman" w:hAnsi="Times New Roman" w:eastAsia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Теоретической базой исследования послужили работы Л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Р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Дускаевой о двойственной природе интенциональности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институциональной и индивидуальной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и Н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И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Клушиной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разработавшей парадигму интенциональных категорий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идеологема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оценка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именование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тональность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интерпретация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Материалом исследования стали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1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5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 публицистических текстов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авторских колонок</w:t>
      </w:r>
      <w:r>
        <w:rPr>
          <w:rFonts w:ascii="Times New Roman" w:hAnsi="Times New Roman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)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посвященных актуальной политической повестке региона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bidi w:val="0"/>
        <w:spacing w:before="0" w:after="320"/>
        <w:ind w:left="0" w:right="0" w:firstLine="709"/>
        <w:jc w:val="both"/>
        <w:rPr>
          <w:rFonts w:ascii="Times New Roman" w:cs="Times New Roman" w:hAnsi="Times New Roman" w:eastAsia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Анализ показал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что в медиатекстах</w:t>
      </w:r>
      <w:r>
        <w:rPr>
          <w:rFonts w:ascii="Times New Roman" w:hAnsi="Times New Roman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доминирует оценочная интенция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нередко переходящая в побудительную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При этом соотношение институционального и индивидуального начал варьируется в зависимости от издания и авторской стратегии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В колонках Д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Петровича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(N1)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ярко выражена индивидуальная интенциональность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реализуемая через сарказм и иронию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тогда как в текстах М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Пекушича </w:t>
      </w:r>
      <w:r>
        <w:rPr>
          <w:rFonts w:ascii="Times New Roman" w:hAnsi="Times New Roman"/>
          <w:outline w:val="0"/>
          <w:color w:val="0e1114"/>
          <w:rtl w:val="0"/>
          <w:lang w:val="it-IT"/>
          <w14:textFill>
            <w14:solidFill>
              <w14:srgbClr w14:val="0F1115"/>
            </w14:solidFill>
          </w14:textFill>
        </w:rPr>
        <w:t xml:space="preserve">(Avaz)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преобладает институциональное начало – автор выступает рупором общественного негодования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bidi w:val="0"/>
        <w:spacing w:before="0" w:after="320"/>
        <w:ind w:left="0" w:right="0" w:firstLine="709"/>
        <w:jc w:val="both"/>
        <w:rPr>
          <w:rFonts w:ascii="Times New Roman" w:cs="Times New Roman" w:hAnsi="Times New Roman" w:eastAsia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Ключевой интенциональной категорией выступает идеологема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В проанализированных текстах доминируют следующие идеологемы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«распад системы»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С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Спахич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«безнаказанность военных преступников»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М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Пекушич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«политический хамелеон»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Ф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Кайтаз о М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Додике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«театр автократии»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Ф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Кайтаз об А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Вучиче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Идеологема реализуется на всех языковых уровнях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задавая идеологический модус тексту и координируя остальные интенциональные стратегии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bidi w:val="0"/>
        <w:spacing w:before="0" w:after="320"/>
        <w:ind w:left="0" w:right="0" w:firstLine="709"/>
        <w:jc w:val="both"/>
        <w:rPr>
          <w:rFonts w:ascii="Times New Roman" w:cs="Times New Roman" w:hAnsi="Times New Roman" w:eastAsia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Особого внимания заслуживает категория именования как механизм «встраивания» авторской идеи в сознание читателя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Анализ выявил использование как стереотипных номинаций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так и индивидуально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авторских метафор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«вучићевска машинерија за млевење људи»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Д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Петрович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«зачарани круг»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Ф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Кайтаз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«граница шупља као швајцарски сир»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М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Пекушич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Наиболее показательна оппозиция «лобирање </w:t>
      </w:r>
      <w:r>
        <w:rPr>
          <w:rFonts w:ascii="Times New Roman" w:hAnsi="Times New Roman"/>
          <w:outline w:val="0"/>
          <w:color w:val="0e1114"/>
          <w:rtl w:val="0"/>
          <w:lang w:val="sv-SE"/>
          <w14:textFill>
            <w14:solidFill>
              <w14:srgbClr w14:val="0F1115"/>
            </w14:solidFill>
          </w14:textFill>
        </w:rPr>
        <w:t xml:space="preserve">vs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лоботомизирање»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Ф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Кайтаз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где медицинская метафора становится инструментом диагностики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поведения политиков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bidi w:val="0"/>
        <w:spacing w:before="0" w:after="320"/>
        <w:ind w:left="0" w:right="0" w:firstLine="709"/>
        <w:jc w:val="both"/>
        <w:rPr>
          <w:rFonts w:ascii="Times New Roman" w:cs="Times New Roman" w:hAnsi="Times New Roman" w:eastAsia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Тональность текста понимается нами как механизм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связывающий интенцию автора с интерпретацией адресата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В проанализированных текстах наблюдается широкий спектр тональностей – от саркастической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Д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Петрович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и иронической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Ф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Кайтаз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до трагической и проповеднической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Т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Секулич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Показательно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что саркастическая тональность доминирует в текстах о политических лидерах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тогда как темы коллективной травмы и социальной несправедливости требуют серьезного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обличительного тона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bidi w:val="0"/>
        <w:spacing w:before="0" w:after="320"/>
        <w:ind w:left="0" w:right="0" w:firstLine="709"/>
        <w:jc w:val="both"/>
        <w:rPr>
          <w:rFonts w:ascii="Times New Roman" w:cs="Times New Roman" w:hAnsi="Times New Roman" w:eastAsia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Категория интерпретации реализуется через сложный комплекс имплицитных приемов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создающих у читателя иллюзию самостоятельного вывода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Наиболее эффективными приемами выступают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создание контрастных пар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реальная трагедия </w:t>
      </w:r>
      <w:r>
        <w:rPr>
          <w:rFonts w:ascii="Times New Roman" w:hAnsi="Times New Roman"/>
          <w:outline w:val="0"/>
          <w:color w:val="0e1114"/>
          <w:rtl w:val="0"/>
          <w:lang w:val="sv-SE"/>
          <w14:textFill>
            <w14:solidFill>
              <w14:srgbClr w14:val="0F1115"/>
            </w14:solidFill>
          </w14:textFill>
        </w:rPr>
        <w:t xml:space="preserve">vs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политический спектакль в тексте Д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Петрович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а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апелляция к общим ценностям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логические уловки и обращение к исторической памяти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 и коллективной травме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bidi w:val="0"/>
        <w:spacing w:before="0" w:after="320"/>
        <w:ind w:left="0" w:right="0" w:firstLine="709"/>
        <w:jc w:val="both"/>
        <w:rPr>
          <w:rFonts w:ascii="Times New Roman" w:cs="Times New Roman" w:hAnsi="Times New Roman" w:eastAsia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Особый интерес представляет конспирологический дискурс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репрезентированный в тексте Латича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Здесь интенциональная структура строится на демонизации врага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создании альтернативной реальности и мобилизации аудитории через апокалиптическую тональность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Этот случай демонстрирует границы применимости аналитического инструментария интенциональной стилистики и требует дальнейшего изучения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bidi w:val="0"/>
        <w:spacing w:before="0" w:after="320"/>
        <w:ind w:left="0" w:right="0" w:firstLine="709"/>
        <w:jc w:val="both"/>
        <w:rPr>
          <w:rFonts w:ascii="Times New Roman" w:cs="Times New Roman" w:hAnsi="Times New Roman" w:eastAsia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Таким образом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репрезентация авторской интенциональности в медиатекстах Федерации БиГ отличается жанровым и стилистическим разнообразием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обусловленным как институциональными рамками изданий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так и индивидуальными стратегиями авторов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Перспективным представляется сопоставительное исследование интенциональных структур в медиатекстах различных регионов постъюгославского пространства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bidi w:val="0"/>
        <w:spacing w:before="0" w:after="320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Литература</w:t>
      </w:r>
    </w:p>
    <w:p>
      <w:pPr>
        <w:pStyle w:val="По умолчанию"/>
        <w:numPr>
          <w:ilvl w:val="0"/>
          <w:numId w:val="1"/>
        </w:numPr>
        <w:bidi w:val="0"/>
        <w:spacing w:before="0" w:after="320"/>
        <w:ind w:right="0"/>
        <w:jc w:val="both"/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Дускаева Л</w:t>
      </w:r>
      <w:r>
        <w:rPr>
          <w:rFonts w:ascii="Times New Roman" w:hAnsi="Times New Roman"/>
          <w:i w:val="1"/>
          <w:i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Р</w:t>
      </w:r>
      <w:r>
        <w:rPr>
          <w:rFonts w:ascii="Times New Roman" w:hAnsi="Times New Roman"/>
          <w:i w:val="1"/>
          <w:i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 Интенциональность медиаречи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онтология и структура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//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Медиатекст как полиинтенциональная система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СПб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., 2012.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С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 10-16.</w:t>
      </w:r>
    </w:p>
    <w:p>
      <w:pPr>
        <w:pStyle w:val="По умолчанию"/>
        <w:numPr>
          <w:ilvl w:val="0"/>
          <w:numId w:val="1"/>
        </w:numPr>
        <w:bidi w:val="0"/>
        <w:spacing w:before="0" w:after="320"/>
        <w:ind w:right="0"/>
        <w:jc w:val="both"/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Клушина Н</w:t>
      </w:r>
      <w:r>
        <w:rPr>
          <w:rFonts w:ascii="Times New Roman" w:hAnsi="Times New Roman"/>
          <w:i w:val="1"/>
          <w:i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И</w:t>
      </w:r>
      <w:r>
        <w:rPr>
          <w:rFonts w:ascii="Times New Roman" w:hAnsi="Times New Roman"/>
          <w:i w:val="1"/>
          <w:i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 Интенциональные категории публицистического текста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на материале периодических изданий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2000-2008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гг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.):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автореф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дис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… докт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филол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наук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М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., 2008.</w:t>
      </w:r>
    </w:p>
    <w:sectPr>
      <w:headerReference w:type="default" r:id="rId4"/>
      <w:footerReference w:type="default" r:id="rId5"/>
      <w:pgSz w:w="11906" w:h="16838" w:orient="portrait"/>
      <w:pgMar w:top="1134" w:right="1417" w:bottom="1134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069"/>
        </w:tabs>
        <w:ind w:left="360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789"/>
        </w:tabs>
        <w:ind w:left="1080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2509"/>
        </w:tabs>
        <w:ind w:left="1800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229"/>
        </w:tabs>
        <w:ind w:left="2520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3949"/>
        </w:tabs>
        <w:ind w:left="3240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4669"/>
        </w:tabs>
        <w:ind w:left="3960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389"/>
        </w:tabs>
        <w:ind w:left="4680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6109"/>
        </w:tabs>
        <w:ind w:left="5400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6829"/>
        </w:tabs>
        <w:ind w:left="6120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