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К вопросу о терминах </w:t>
      </w:r>
      <w:r>
        <w:rPr>
          <w:rFonts w:ascii="Times New Roman" w:hAnsi="Times New Roman"/>
          <w:b/>
          <w:bCs/>
        </w:rPr>
        <w:t xml:space="preserve">для обозначения межсистемных лексических соответствий </w:t>
      </w:r>
      <w:r>
        <w:rPr>
          <w:rFonts w:ascii="Times New Roman" w:hAnsi="Times New Roman"/>
          <w:b/>
          <w:bCs/>
          <w:lang w:val="en-US"/>
        </w:rPr>
        <w:t>(</w:t>
      </w:r>
      <w:r>
        <w:rPr>
          <w:rFonts w:ascii="Times New Roman" w:hAnsi="Times New Roman"/>
          <w:b/>
          <w:bCs/>
        </w:rPr>
        <w:t xml:space="preserve">в русской, болгарской и польской </w:t>
      </w:r>
      <w:r>
        <w:rPr>
          <w:rFonts w:ascii="Times New Roman" w:hAnsi="Times New Roman"/>
          <w:b/>
          <w:bCs/>
        </w:rPr>
        <w:t>лингвистической традиции</w:t>
      </w:r>
      <w:r>
        <w:rPr>
          <w:rFonts w:ascii="Times New Roman" w:hAnsi="Times New Roman"/>
          <w:b/>
          <w:bCs/>
          <w:lang w:val="en-US"/>
        </w:rPr>
        <w:t>)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Караваева Валерия Александровна</w:t>
      </w:r>
    </w:p>
    <w:p>
      <w:pPr>
        <w:pStyle w:val="Normal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Студентка МГУ им. М. В. Ломоносова, Москва, Россия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</w:rPr>
        <w:t>В современной лексикографии, особенно в диалектной сфере, существует потребность в термине для обозначения от</w:t>
      </w:r>
      <w:r>
        <w:rPr>
          <w:rFonts w:ascii="Times New Roman" w:hAnsi="Times New Roman"/>
          <w:shd w:fill="auto" w:val="clear"/>
        </w:rPr>
        <w:t xml:space="preserve">ношений между лексемами, принадлежащим двум (или более) различным языковым подсистемам и характеризующимся общностью означаемого при различии означающих. Внутри одной языковой </w:t>
      </w:r>
      <w:r>
        <w:rPr>
          <w:rFonts w:ascii="Times New Roman" w:hAnsi="Times New Roman"/>
          <w:shd w:fill="auto" w:val="clear"/>
        </w:rPr>
        <w:t>системы</w:t>
      </w:r>
      <w:r>
        <w:rPr>
          <w:rFonts w:ascii="Times New Roman" w:hAnsi="Times New Roman"/>
          <w:shd w:fill="auto" w:val="clear"/>
        </w:rPr>
        <w:t xml:space="preserve"> подобные отношения трактуются как синонимия, однако использование этого термина </w:t>
      </w:r>
      <w:r>
        <w:rPr>
          <w:rFonts w:ascii="Times New Roman" w:hAnsi="Times New Roman"/>
          <w:shd w:fill="auto" w:val="clear"/>
        </w:rPr>
        <w:t>для</w:t>
      </w:r>
      <w:r>
        <w:rPr>
          <w:rFonts w:ascii="Times New Roman" w:hAnsi="Times New Roman"/>
          <w:shd w:fill="auto" w:val="clear"/>
        </w:rPr>
        <w:t xml:space="preserve">  отношений двух различных </w:t>
      </w:r>
      <w:r>
        <w:rPr>
          <w:rFonts w:ascii="Times New Roman" w:hAnsi="Times New Roman"/>
          <w:shd w:fill="auto" w:val="clear"/>
        </w:rPr>
        <w:t>подсистем</w:t>
      </w:r>
      <w:r>
        <w:rPr>
          <w:rFonts w:ascii="Times New Roman" w:hAnsi="Times New Roman"/>
          <w:shd w:fill="auto" w:val="clear"/>
        </w:rPr>
        <w:t xml:space="preserve"> представляется не вполне </w:t>
      </w:r>
      <w:r>
        <w:rPr>
          <w:rFonts w:ascii="Times New Roman" w:hAnsi="Times New Roman"/>
          <w:shd w:fill="auto" w:val="clear"/>
        </w:rPr>
        <w:t>обоснованным</w:t>
      </w:r>
      <w:r>
        <w:rPr>
          <w:rFonts w:ascii="Times New Roman" w:hAnsi="Times New Roman"/>
          <w:shd w:fill="auto" w:val="clear"/>
        </w:rPr>
        <w:t>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Метаанализ имеющихся исследований демонстрирует значительное разнообразие терминов, называющих указанный феномен. В различных лингвистических (и не только) традициях зачастую используются разнородные термины, однако следует признать подобную ситуацию неоптимальной: она противоречит основной функции термина — однозначной номинации некоторого явления. Вариативность и/или полисемия термина способна порождать трудности в научной коммуникации.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В настоящем докладе мы намерены рассмотреть ряд терминов, используемых в русско-, польско- и болгароязычной традициях для обозначения межсистемных лексических соответствий, а также предложить возможное решение проблемы терминологической вариативности в русскоязычном научном дискурсе. Мы проанализировали обширный корпус лингвистических работ на трех указанных языках, посвященных указанным отношениям между языковыми единицами.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 xml:space="preserve">В </w:t>
      </w:r>
      <w:r>
        <w:rPr>
          <w:rFonts w:ascii="Times New Roman" w:hAnsi="Times New Roman"/>
          <w:shd w:fill="auto" w:val="clear"/>
        </w:rPr>
        <w:t>отечественной</w:t>
      </w:r>
      <w:r>
        <w:rPr>
          <w:rFonts w:ascii="Times New Roman" w:hAnsi="Times New Roman"/>
          <w:shd w:fill="auto" w:val="clear"/>
        </w:rPr>
        <w:t xml:space="preserve"> традиции доминирующим, по-видимому, является термин </w:t>
      </w:r>
      <w:r>
        <w:rPr>
          <w:rFonts w:ascii="Times New Roman" w:hAnsi="Times New Roman"/>
          <w:i/>
          <w:iCs/>
          <w:shd w:fill="auto" w:val="clear"/>
        </w:rPr>
        <w:t>межъязыковые (междиалектные) синонимы</w:t>
      </w:r>
      <w:r>
        <w:rPr>
          <w:rFonts w:ascii="Times New Roman" w:hAnsi="Times New Roman"/>
          <w:shd w:fill="auto" w:val="clear"/>
        </w:rPr>
        <w:t xml:space="preserve"> (используется, в частности, С. М. Толстой [Толстая 2021: 44]). Близок к нему термин </w:t>
      </w:r>
      <w:r>
        <w:rPr>
          <w:rFonts w:ascii="Times New Roman" w:hAnsi="Times New Roman"/>
          <w:i/>
          <w:iCs/>
          <w:shd w:fill="auto" w:val="clear"/>
        </w:rPr>
        <w:t>междиалектные варианты</w:t>
      </w:r>
      <w:r>
        <w:rPr>
          <w:rFonts w:ascii="Times New Roman" w:hAnsi="Times New Roman"/>
          <w:shd w:fill="auto" w:val="clear"/>
          <w:lang w:val="en-US"/>
        </w:rPr>
        <w:t xml:space="preserve">. </w:t>
      </w:r>
      <w:r>
        <w:rPr>
          <w:rFonts w:ascii="Times New Roman" w:hAnsi="Times New Roman"/>
          <w:shd w:fill="auto" w:val="clear"/>
        </w:rPr>
        <w:t xml:space="preserve">Наряду с ними обнаруживается и термин </w:t>
      </w:r>
      <w:r>
        <w:rPr>
          <w:rFonts w:ascii="Times New Roman" w:hAnsi="Times New Roman"/>
          <w:i/>
          <w:iCs/>
          <w:shd w:fill="auto" w:val="clear"/>
        </w:rPr>
        <w:t>изосемия</w:t>
      </w:r>
      <w:r>
        <w:rPr>
          <w:rFonts w:ascii="Times New Roman" w:hAnsi="Times New Roman"/>
          <w:shd w:fill="auto" w:val="clear"/>
        </w:rPr>
        <w:t xml:space="preserve">, который, однако, </w:t>
      </w:r>
      <w:r>
        <w:rPr>
          <w:rFonts w:ascii="Times New Roman" w:hAnsi="Times New Roman"/>
          <w:shd w:fill="auto" w:val="clear"/>
        </w:rPr>
        <w:t>неодноз</w:t>
      </w:r>
      <w:r>
        <w:rPr>
          <w:rFonts w:ascii="Times New Roman" w:hAnsi="Times New Roman"/>
          <w:shd w:fill="auto" w:val="clear"/>
        </w:rPr>
        <w:t>н</w:t>
      </w:r>
      <w:r>
        <w:rPr>
          <w:rFonts w:ascii="Times New Roman" w:hAnsi="Times New Roman"/>
          <w:shd w:fill="auto" w:val="clear"/>
        </w:rPr>
        <w:t>ачен</w:t>
      </w:r>
      <w:r>
        <w:rPr>
          <w:rFonts w:ascii="Times New Roman" w:hAnsi="Times New Roman"/>
          <w:shd w:fill="auto" w:val="clear"/>
        </w:rPr>
        <w:t xml:space="preserve">: по </w:t>
      </w:r>
      <w:r>
        <w:rPr>
          <w:rFonts w:ascii="Times New Roman" w:hAnsi="Times New Roman"/>
        </w:rPr>
        <w:t>Г. А. Золотовой он обозначает признак «соответствия / несоответствия отображаемого категориального значения слова основному категориальному значению данной части речи» [цит. по: Уржа 2011: 21–22].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</w:rPr>
        <w:t xml:space="preserve">В болгарской лингвистике закрепился термин </w:t>
      </w:r>
      <w:r>
        <w:rPr>
          <w:rFonts w:ascii="Times New Roman" w:hAnsi="Times New Roman"/>
          <w:i/>
          <w:iCs/>
        </w:rPr>
        <w:t>хетероним</w:t>
      </w:r>
      <w:r>
        <w:rPr>
          <w:rFonts w:ascii="Times New Roman" w:hAnsi="Times New Roman"/>
        </w:rPr>
        <w:t xml:space="preserve">. Примечателен способ оформления рядов таких единиц: денотат, общий для всех рассматриваемых лексем, обозначается словом литературного болгарского языка, которое заключается в квадратные скобки и записывается прописными буквами (напр., [ЦАРЕВИЦА] ‘кукуруза’); после чего через запятую приводятся диалектные или региональные наименования этой реалии [Георгиева 2021]. Кроме того, с XIX века фиксируется термин </w:t>
      </w:r>
      <w:r>
        <w:rPr>
          <w:rFonts w:ascii="Times New Roman" w:hAnsi="Times New Roman"/>
          <w:i/>
          <w:iCs/>
        </w:rPr>
        <w:t>равнознаменователни ре</w:t>
      </w:r>
      <w:r>
        <w:rPr>
          <w:rFonts w:ascii="Times New Roman" w:hAnsi="Times New Roman"/>
          <w:i/>
          <w:iCs/>
          <w:shd w:fill="auto" w:val="clear"/>
        </w:rPr>
        <w:t xml:space="preserve">чи </w:t>
      </w:r>
      <w:r>
        <w:rPr>
          <w:rFonts w:ascii="Times New Roman" w:hAnsi="Times New Roman"/>
          <w:shd w:fill="auto" w:val="clear"/>
        </w:rPr>
        <w:t>(‘равнозначные слова’), который в настоящее время используется преимущественно в исследованиях по истории болгарской лексикографии.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В польской традиции также спорадически используется термин </w:t>
      </w:r>
      <w:r>
        <w:rPr>
          <w:rFonts w:ascii="Times New Roman" w:hAnsi="Times New Roman"/>
          <w:i/>
          <w:iCs/>
          <w:shd w:fill="auto" w:val="clear"/>
          <w:lang w:val="en-US"/>
        </w:rPr>
        <w:t>heteronim.</w:t>
      </w:r>
      <w:r>
        <w:rPr>
          <w:rFonts w:ascii="Times New Roman" w:hAnsi="Times New Roman"/>
          <w:shd w:fill="auto" w:val="clear"/>
        </w:rPr>
        <w:t xml:space="preserve"> Кроме того, в связи с тем, что междиалектная синонимия может проявляться на разных уровнях — не только лексическом, но и словообразовательном или фонетическом, — в польской литературе также встречаются термины </w:t>
      </w:r>
      <w:r>
        <w:rPr>
          <w:rFonts w:ascii="Times New Roman" w:hAnsi="Times New Roman"/>
          <w:i/>
          <w:iCs/>
          <w:shd w:fill="auto" w:val="clear"/>
        </w:rPr>
        <w:t>wariantywność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i/>
          <w:iCs/>
          <w:shd w:fill="auto" w:val="clear"/>
        </w:rPr>
        <w:t xml:space="preserve">fonetyczna </w:t>
      </w:r>
      <w:r>
        <w:rPr>
          <w:rFonts w:ascii="Times New Roman" w:hAnsi="Times New Roman"/>
          <w:shd w:fill="auto" w:val="clear"/>
          <w:lang w:val="pl-PL"/>
        </w:rPr>
        <w:t>‘</w:t>
      </w:r>
      <w:r>
        <w:rPr>
          <w:rFonts w:ascii="Times New Roman" w:hAnsi="Times New Roman"/>
          <w:shd w:fill="auto" w:val="clear"/>
        </w:rPr>
        <w:t>фонетическая вариативность</w:t>
      </w:r>
      <w:r>
        <w:rPr>
          <w:rFonts w:ascii="Times New Roman" w:hAnsi="Times New Roman"/>
          <w:shd w:fill="auto" w:val="clear"/>
          <w:lang w:val="pl-PL"/>
        </w:rPr>
        <w:t>’</w:t>
      </w:r>
      <w:r>
        <w:rPr>
          <w:rFonts w:ascii="Times New Roman" w:hAnsi="Times New Roman"/>
          <w:shd w:fill="auto" w:val="clear"/>
        </w:rPr>
        <w:t xml:space="preserve">) (см., напр. </w:t>
      </w:r>
      <w:r>
        <w:rPr>
          <w:rFonts w:ascii="Times New Roman" w:hAnsi="Times New Roman"/>
          <w:shd w:fill="auto" w:val="clear"/>
          <w:lang w:val="en-US"/>
        </w:rPr>
        <w:t>[</w:t>
      </w:r>
      <w:r>
        <w:rPr>
          <w:rFonts w:ascii="Times New Roman" w:hAnsi="Times New Roman"/>
          <w:shd w:fill="auto" w:val="clear"/>
        </w:rPr>
        <w:t>Wyderka 2011]</w:t>
      </w:r>
      <w:r>
        <w:rPr>
          <w:rFonts w:ascii="Times New Roman" w:hAnsi="Times New Roman"/>
          <w:shd w:fill="auto" w:val="clear"/>
          <w:lang w:val="en-US"/>
        </w:rPr>
        <w:t xml:space="preserve">), </w:t>
      </w:r>
      <w:r>
        <w:rPr>
          <w:rFonts w:ascii="Times New Roman" w:hAnsi="Times New Roman"/>
          <w:i/>
          <w:iCs/>
          <w:shd w:fill="auto" w:val="clear"/>
          <w:lang w:val="en-US"/>
        </w:rPr>
        <w:t>słowotwórcz</w:t>
      </w:r>
      <w:r>
        <w:rPr>
          <w:rFonts w:ascii="Times New Roman" w:hAnsi="Times New Roman"/>
          <w:i/>
          <w:iCs/>
          <w:shd w:fill="auto" w:val="clear"/>
          <w:lang w:val="pl-PL"/>
        </w:rPr>
        <w:t>e</w:t>
      </w:r>
      <w:r>
        <w:rPr>
          <w:rFonts w:ascii="Times New Roman" w:hAnsi="Times New Roman"/>
          <w:i/>
          <w:iCs/>
          <w:shd w:fill="auto" w:val="clear"/>
          <w:lang w:val="en-US"/>
        </w:rPr>
        <w:t xml:space="preserve"> dublet</w:t>
      </w:r>
      <w:r>
        <w:rPr>
          <w:rFonts w:ascii="Times New Roman" w:hAnsi="Times New Roman"/>
          <w:i/>
          <w:iCs/>
          <w:shd w:fill="auto" w:val="clear"/>
          <w:lang w:val="pl-PL"/>
        </w:rPr>
        <w:t xml:space="preserve">y </w:t>
      </w:r>
      <w:r>
        <w:rPr>
          <w:rFonts w:ascii="Times New Roman" w:hAnsi="Times New Roman"/>
          <w:shd w:fill="auto" w:val="clear"/>
          <w:lang w:val="pl-PL"/>
        </w:rPr>
        <w:t>‘</w:t>
      </w:r>
      <w:r>
        <w:rPr>
          <w:rFonts w:ascii="Times New Roman" w:hAnsi="Times New Roman"/>
          <w:shd w:fill="auto" w:val="clear"/>
        </w:rPr>
        <w:t>словообразовательные дублеты</w:t>
      </w:r>
      <w:r>
        <w:rPr>
          <w:rFonts w:ascii="Times New Roman" w:hAnsi="Times New Roman"/>
          <w:shd w:fill="auto" w:val="clear"/>
          <w:lang w:val="pl-PL"/>
        </w:rPr>
        <w:t>’</w:t>
      </w:r>
      <w:r>
        <w:rPr>
          <w:rFonts w:ascii="Times New Roman" w:hAnsi="Times New Roman"/>
          <w:shd w:fill="auto" w:val="clear"/>
          <w:lang w:val="en-US"/>
        </w:rPr>
        <w:t xml:space="preserve">, </w:t>
      </w:r>
      <w:r>
        <w:rPr>
          <w:rFonts w:ascii="Times New Roman" w:hAnsi="Times New Roman"/>
          <w:i/>
          <w:iCs/>
          <w:shd w:fill="auto" w:val="clear"/>
          <w:lang w:val="en-US"/>
        </w:rPr>
        <w:t>warianty</w:t>
      </w:r>
      <w:r>
        <w:rPr>
          <w:rFonts w:ascii="Times New Roman" w:hAnsi="Times New Roman"/>
          <w:shd w:fill="auto" w:val="clear"/>
          <w:lang w:val="en-US"/>
        </w:rPr>
        <w:t xml:space="preserve">, </w:t>
      </w:r>
      <w:r>
        <w:rPr>
          <w:rFonts w:ascii="Times New Roman" w:hAnsi="Times New Roman"/>
          <w:i/>
          <w:iCs/>
          <w:shd w:fill="auto" w:val="clear"/>
          <w:lang w:val="en-US"/>
        </w:rPr>
        <w:t>derywaty</w:t>
      </w:r>
      <w:r>
        <w:rPr>
          <w:rFonts w:ascii="Times New Roman" w:hAnsi="Times New Roman"/>
          <w:shd w:fill="auto" w:val="clear"/>
          <w:lang w:val="en-US"/>
        </w:rPr>
        <w:t xml:space="preserve"> </w:t>
      </w:r>
      <w:r>
        <w:rPr>
          <w:rFonts w:ascii="Times New Roman" w:hAnsi="Times New Roman"/>
          <w:i/>
          <w:iCs/>
          <w:shd w:fill="auto" w:val="clear"/>
          <w:lang w:val="en-US"/>
        </w:rPr>
        <w:t>paralelne</w:t>
      </w:r>
      <w:r>
        <w:rPr>
          <w:rFonts w:ascii="Times New Roman" w:hAnsi="Times New Roman"/>
          <w:shd w:fill="auto" w:val="clear"/>
          <w:lang w:val="en-US"/>
        </w:rPr>
        <w:t xml:space="preserve"> ‘</w:t>
      </w:r>
      <w:r>
        <w:rPr>
          <w:rFonts w:ascii="Times New Roman" w:hAnsi="Times New Roman"/>
          <w:shd w:fill="auto" w:val="clear"/>
        </w:rPr>
        <w:t>параллельные дериваты</w:t>
      </w:r>
      <w:r>
        <w:rPr>
          <w:rFonts w:ascii="Times New Roman" w:hAnsi="Times New Roman"/>
          <w:shd w:fill="auto" w:val="clear"/>
          <w:lang w:val="en-US"/>
        </w:rPr>
        <w:t>’ [Jaros 2011: 95–96]</w:t>
      </w:r>
      <w:r>
        <w:rPr>
          <w:rFonts w:ascii="Times New Roman" w:hAnsi="Times New Roman"/>
          <w:shd w:fill="auto" w:val="clear"/>
        </w:rPr>
        <w:t xml:space="preserve">. Лексема, выбранная в качестве основной в ряду таких вариантов, может называться термином </w:t>
      </w:r>
      <w:r>
        <w:rPr>
          <w:rFonts w:ascii="Times New Roman" w:hAnsi="Times New Roman"/>
          <w:i/>
          <w:iCs/>
          <w:shd w:fill="auto" w:val="clear"/>
          <w:lang w:val="en-US"/>
        </w:rPr>
        <w:t>superleksem</w:t>
      </w:r>
      <w:r>
        <w:rPr>
          <w:rFonts w:ascii="Times New Roman" w:hAnsi="Times New Roman"/>
          <w:shd w:fill="auto" w:val="clear"/>
          <w:lang w:val="en-US"/>
        </w:rPr>
        <w:t xml:space="preserve"> [Wyderka 2011].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hd w:fill="auto" w:val="clear"/>
        </w:rPr>
        <w:t>Подводя итоги, следует отметить, что ни в одной из рассмотренных лингвистических традиций не сформировалось общепринятого и терминологически строгого обозначения для отношений, подобных синоним</w:t>
      </w:r>
      <w:r>
        <w:rPr>
          <w:rFonts w:ascii="Times New Roman" w:hAnsi="Times New Roman"/>
        </w:rPr>
        <w:t xml:space="preserve">ическим, но возникающих между единицами различных языковых подсистем. Наиболее удачным представляется болгарский термин </w:t>
      </w:r>
      <w:r>
        <w:rPr>
          <w:rFonts w:ascii="Times New Roman" w:hAnsi="Times New Roman"/>
          <w:i/>
          <w:iCs/>
        </w:rPr>
        <w:t>хетероним</w:t>
      </w:r>
      <w:r>
        <w:rPr>
          <w:rFonts w:ascii="Times New Roman" w:hAnsi="Times New Roman"/>
        </w:rPr>
        <w:t xml:space="preserve">, сочетающийся с удобным форматом лексикографической репрезентации синонимических рядов. Однако его введение в русскоязычный научный дискурс может быть затруднено ввиду существования термина </w:t>
      </w:r>
      <w:r>
        <w:rPr>
          <w:rFonts w:ascii="Times New Roman" w:hAnsi="Times New Roman"/>
          <w:i/>
          <w:iCs/>
        </w:rPr>
        <w:t>гетероним</w:t>
      </w:r>
      <w:r>
        <w:rPr>
          <w:rFonts w:ascii="Times New Roman" w:hAnsi="Times New Roman"/>
        </w:rPr>
        <w:t xml:space="preserve"> в литературоведении, где он обозначает некоторый вид псевдонима. Несомненным достоинством обладает и термин </w:t>
      </w:r>
      <w:r>
        <w:rPr>
          <w:rFonts w:ascii="Times New Roman" w:hAnsi="Times New Roman"/>
          <w:i/>
          <w:iCs/>
        </w:rPr>
        <w:t>междиалектный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синоним</w:t>
      </w:r>
      <w:r>
        <w:rPr>
          <w:rFonts w:ascii="Times New Roman" w:hAnsi="Times New Roman"/>
        </w:rPr>
        <w:t>, подчеркивающий близость обозначаемых отношений к внутрисистемной синонимии и подкрепленный давней традицией употребления.</w:t>
      </w:r>
    </w:p>
    <w:p>
      <w:pPr>
        <w:pStyle w:val="Normal"/>
        <w:ind w:firstLine="709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Список литературы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Wyderka B. Hasło słownikowe a leksem w leksykografii gwarowej // Rozprawy Komisji Językowej. 2011. № 56. С. 183–189.</w:t>
      </w:r>
    </w:p>
    <w:p>
      <w:pPr>
        <w:pStyle w:val="Normal"/>
        <w:ind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Jaros I.  Synonimia słowotwórcza przymiotników w gwarach – wybrane problemy interpretacyjne // Gwary Dziś. 2011. </w:t>
      </w:r>
      <w:r>
        <w:rPr>
          <w:rFonts w:ascii="Times New Roman" w:hAnsi="Times New Roman"/>
        </w:rPr>
        <w:t>№1. С. 95–104.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Георгиева Ц. Хетероними и синоними в българското езикознание // Доклади от Международната годишна конференция на Института за български език „Проф. Любомир Андрейчин“. София, 2021. С. 141–147.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Толстая С.М. К проблеме синонимии в праславянской лексике // Зборник Матице српске за славистику. 2021. № 100. С. 43–59.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Уржа А.В. Использование понятия изосемии в изучении синтаксиса и стиля переводных текстов // Мир русского слова. 2011. № 2. С. 21–25.</w:t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Style14" w:customStyle="1">
    <w:name w:val="Текст примечания Знак"/>
    <w:basedOn w:val="DefaultParagraphFont"/>
    <w:qFormat/>
    <w:rPr>
      <w:rFonts w:cs="Mangal"/>
      <w:sz w:val="20"/>
      <w:szCs w:val="18"/>
    </w:rPr>
  </w:style>
  <w:style w:type="character" w:styleId="Style15" w:customStyle="1">
    <w:name w:val="Тема примечания Знак"/>
    <w:basedOn w:val="Style14"/>
    <w:link w:val="annotationsubject"/>
    <w:qFormat/>
    <w:rPr>
      <w:rFonts w:cs="Mangal"/>
      <w:b/>
      <w:bCs/>
      <w:sz w:val="20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xHeading">
    <w:name w:val="index heading"/>
    <w:basedOn w:val="Normal"/>
    <w:pPr>
      <w:suppressLineNumbers/>
    </w:pPr>
    <w:rPr/>
  </w:style>
  <w:style w:type="paragraph" w:styleId="CommentText">
    <w:name w:val="annotation text"/>
    <w:basedOn w:val="Normal"/>
    <w:link w:val="Style14"/>
    <w:pPr/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Style15"/>
    <w:qFormat/>
    <w:pPr/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numbering" w:styleId="user" w:customStyle="1">
    <w:name w:val="Без списка (user)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LibreOffice/25.2.7.2$Windows_X86_64 LibreOffice_project/5cbfd1ab6520636bb5f7b99185aa69bd7456825d</Application>
  <AppVersion>15.0000</AppVersion>
  <Pages>2</Pages>
  <Words>570</Words>
  <Characters>4179</Characters>
  <CharactersWithSpaces>4733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2026-03-02T15:07:00Z</dcterms:created>
  <dc:creator/>
  <dc:description/>
  <dc:language>ru-RU</dc:language>
  <cp:lastModifiedBy/>
  <dcterms:modified xsi:type="dcterms:W3CDTF">2026-03-02T23:56:11Z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