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397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Гипотеза о гипотезе: проблема интерпретации лексемы ὑπόθεσις в переписке Цицерона с Аттиком (на материале Cic. Att. I, 14)</w:t>
      </w:r>
    </w:p>
    <w:p>
      <w:pPr>
        <w:pStyle w:val="Normal"/>
        <w:spacing w:lineRule="auto" w:line="240" w:before="0" w:after="0"/>
        <w:ind w:firstLine="397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ind w:firstLine="397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Сиднин Андрей Дмитриевич</w:t>
      </w:r>
    </w:p>
    <w:p>
      <w:pPr>
        <w:pStyle w:val="Normal"/>
        <w:spacing w:lineRule="auto" w:line="240" w:before="0" w:after="0"/>
        <w:ind w:firstLine="397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firstLine="397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Студент Московского государственного университета имени М.В. Ломоносова, Москва, Россия</w:t>
      </w:r>
    </w:p>
    <w:p>
      <w:pPr>
        <w:pStyle w:val="Normal"/>
        <w:spacing w:lineRule="auto" w:line="240" w:before="0" w:after="0"/>
        <w:ind w:firstLine="397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firstLine="397"/>
        <w:jc w:val="both"/>
        <w:rPr/>
      </w:pPr>
      <w:r>
        <w:rPr>
          <w:rFonts w:cs="Times New Roman" w:ascii="Times New Roman" w:hAnsi="Times New Roman"/>
        </w:rPr>
        <w:t>В рамках корпуса писем Цицерона лексема ὑπόθεσις встречается в 5 местах, 4 из которых приходятся на переписку оратора с его близким другом, Титом Помпонием Аттиком, характер общения которых в целом отличается обильным использованием греческих слов, понимание которых было гарантировано выдающейся ученостью обоих участников переписки, поэтому, на первый взгляд, в самом факте употребления лексемы ὺπόθεσις нет ничего удивительного или сколько-нибудь примечательного. Тем не менее, как это часто бывает в письмах Цицерона, греческие слова могут выступать не в своём прямом значении, а представлять собой элемент тонкой интеллектуальной игры, для разрешения которой нужно учитывать не столько первое и общеупотребительное значение лексемы, сколько её специальный характер в рамках конкретного места и контекста.</w:t>
      </w:r>
    </w:p>
    <w:p>
      <w:pPr>
        <w:pStyle w:val="Normal"/>
        <w:spacing w:lineRule="auto" w:line="240" w:before="0" w:after="0"/>
        <w:ind w:firstLine="397"/>
        <w:jc w:val="both"/>
        <w:rPr/>
      </w:pPr>
      <w:r>
        <w:rPr>
          <w:rFonts w:cs="Times New Roman" w:ascii="Times New Roman" w:hAnsi="Times New Roman"/>
        </w:rPr>
        <w:t xml:space="preserve">Процитируем интересующее нас место, Cic. Att. I, 14: «...si umquam mihi περίοδοι ἢ καμπαὶ ἢ ἐνθυμήματα ἢ κατασκευαὶ suppeditauerunt, illo tempore. quid multa? clamores. etenim haec erat </w:t>
      </w:r>
      <w:r>
        <w:rPr>
          <w:rFonts w:cs="Times New Roman" w:ascii="Times New Roman" w:hAnsi="Times New Roman"/>
          <w:b/>
          <w:bCs/>
          <w:u w:val="single"/>
        </w:rPr>
        <w:t>ὑπόθεσις</w:t>
      </w:r>
      <w:r>
        <w:rPr>
          <w:rFonts w:cs="Times New Roman" w:ascii="Times New Roman" w:hAnsi="Times New Roman"/>
        </w:rPr>
        <w:t xml:space="preserve">, de grauitate ordinis, de equestri concordia, de consensione Italiae, de intermortuis reliquiis coniurationis, de uilitate, de otio...». В русском переводе Горенштейна мы обнаруживаем перевод лексемы ὑπόθεσις как </w:t>
      </w:r>
      <w:r>
        <w:rPr>
          <w:rFonts w:cs="Times New Roman" w:ascii="Times New Roman" w:hAnsi="Times New Roman"/>
        </w:rPr>
        <w:t>«о</w:t>
      </w:r>
      <w:r>
        <w:rPr>
          <w:rFonts w:cs="Times New Roman" w:ascii="Times New Roman" w:hAnsi="Times New Roman"/>
          <w:i/>
          <w:iCs/>
        </w:rPr>
        <w:t>сновная мысль</w:t>
      </w:r>
      <w:r>
        <w:rPr>
          <w:rFonts w:cs="Times New Roman" w:ascii="Times New Roman" w:hAnsi="Times New Roman"/>
        </w:rPr>
        <w:t xml:space="preserve">» [Горенштейн: </w:t>
      </w:r>
      <w:r>
        <w:rPr>
          <w:rFonts w:cs="Times New Roman" w:ascii="Times New Roman" w:hAnsi="Times New Roman"/>
        </w:rPr>
        <w:t>54</w:t>
      </w:r>
      <w:r>
        <w:rPr>
          <w:rFonts w:cs="Times New Roman" w:ascii="Times New Roman" w:hAnsi="Times New Roman"/>
        </w:rPr>
        <w:t>], в английском издании, выполненном под редакцией D. R. Shackleton Bailey, мы видим вариант «</w:t>
      </w:r>
      <w:r>
        <w:rPr>
          <w:rFonts w:cs="Times New Roman" w:ascii="Times New Roman" w:hAnsi="Times New Roman"/>
          <w:i/>
          <w:iCs/>
        </w:rPr>
        <w:t>theme</w:t>
      </w:r>
      <w:r>
        <w:rPr>
          <w:rFonts w:cs="Times New Roman" w:ascii="Times New Roman" w:hAnsi="Times New Roman"/>
        </w:rPr>
        <w:t xml:space="preserve">» [Bailey: </w:t>
      </w:r>
      <w:r>
        <w:rPr>
          <w:rFonts w:cs="Times New Roman" w:ascii="Times New Roman" w:hAnsi="Times New Roman"/>
        </w:rPr>
        <w:t>143</w:t>
      </w:r>
      <w:r>
        <w:rPr>
          <w:rFonts w:cs="Times New Roman" w:ascii="Times New Roman" w:hAnsi="Times New Roman"/>
        </w:rPr>
        <w:t>], с последующим перечислением содержания речи. Возника</w:t>
      </w:r>
      <w:r>
        <w:rPr>
          <w:rFonts w:cs="Times New Roman" w:ascii="Times New Roman" w:hAnsi="Times New Roman"/>
        </w:rPr>
        <w:t>е</w:t>
      </w:r>
      <w:r>
        <w:rPr>
          <w:rFonts w:cs="Times New Roman" w:ascii="Times New Roman" w:hAnsi="Times New Roman"/>
        </w:rPr>
        <w:t xml:space="preserve">т, однако, следующая проблема: если это «основная мысль» или «основная тема», то к чему тогда последующее перечисление разных, и, в общем-то, </w:t>
      </w:r>
      <w:r>
        <w:rPr>
          <w:rFonts w:cs="Times New Roman" w:ascii="Times New Roman" w:hAnsi="Times New Roman"/>
        </w:rPr>
        <w:t xml:space="preserve">прямым образом </w:t>
      </w:r>
      <w:r>
        <w:rPr>
          <w:rFonts w:cs="Times New Roman" w:ascii="Times New Roman" w:hAnsi="Times New Roman"/>
        </w:rPr>
        <w:t xml:space="preserve">не связанных между собой вопросов? Добавим к этому то обстоятельство, что слово ὑπόθεσις стоит в единственном числе, хотя далее следует перечисление не одного, а нескольких тем. Более того, ни в наиболее известных и авторитеных изданиях писем Цицерона, ни в переводах не обнаруживается никакого специального комментария к данному слову, хотя прочие греческие слова, т. е. περίοδοι, καμπαὶ, ἐνθυμήματα, κατασκευαί, комментируются довольно подробно, что наводит на мысль, что издатели и комментаторы понимают данную лексему в этом месте в общеупотребительном </w:t>
      </w:r>
      <w:r>
        <w:rPr>
          <w:rFonts w:cs="Times New Roman" w:ascii="Times New Roman" w:hAnsi="Times New Roman"/>
        </w:rPr>
        <w:t>и привычном</w:t>
      </w:r>
      <w:r>
        <w:rPr>
          <w:rFonts w:cs="Times New Roman" w:ascii="Times New Roman" w:hAnsi="Times New Roman"/>
        </w:rPr>
        <w:t xml:space="preserve"> смысле как «основное положение, тема».</w:t>
      </w:r>
    </w:p>
    <w:p>
      <w:pPr>
        <w:pStyle w:val="Normal"/>
        <w:spacing w:lineRule="auto" w:line="240" w:before="0" w:after="0"/>
        <w:ind w:firstLine="397"/>
        <w:jc w:val="both"/>
        <w:rPr/>
      </w:pPr>
      <w:r>
        <w:rPr>
          <w:rFonts w:cs="Times New Roman" w:ascii="Times New Roman" w:hAnsi="Times New Roman"/>
        </w:rPr>
        <w:t xml:space="preserve">Для разрешения данной проблемы обратимся к </w:t>
      </w:r>
      <w:r>
        <w:rPr>
          <w:rFonts w:cs="Times New Roman" w:ascii="Times New Roman" w:hAnsi="Times New Roman"/>
        </w:rPr>
        <w:t xml:space="preserve">одному месту из третьей книги «Institutiones oratoriae» </w:t>
      </w:r>
      <w:r>
        <w:rPr>
          <w:rFonts w:cs="Times New Roman" w:ascii="Times New Roman" w:hAnsi="Times New Roman"/>
        </w:rPr>
        <w:t>Квинтилиан</w:t>
      </w:r>
      <w:r>
        <w:rPr>
          <w:rFonts w:cs="Times New Roman" w:ascii="Times New Roman" w:hAnsi="Times New Roman"/>
        </w:rPr>
        <w:t>а</w:t>
      </w:r>
      <w:r>
        <w:rPr>
          <w:rFonts w:cs="Times New Roman" w:ascii="Times New Roman" w:hAnsi="Times New Roman"/>
        </w:rPr>
        <w:t xml:space="preserve">, </w:t>
      </w:r>
      <w:r>
        <w:rPr>
          <w:rFonts w:cs="Times New Roman" w:ascii="Times New Roman" w:hAnsi="Times New Roman"/>
        </w:rPr>
        <w:t xml:space="preserve">где он </w:t>
      </w:r>
      <w:r>
        <w:rPr>
          <w:rFonts w:cs="Times New Roman" w:ascii="Times New Roman" w:hAnsi="Times New Roman"/>
        </w:rPr>
        <w:t xml:space="preserve">пишет про специфический риторический контекст рассматриваего нами слова </w:t>
      </w:r>
      <w:r>
        <w:rPr>
          <w:rFonts w:cs="Times New Roman" w:ascii="Times New Roman" w:hAnsi="Times New Roman"/>
        </w:rPr>
        <w:t>(Quint. Inst. 3, V, 5)</w:t>
      </w:r>
      <w:r>
        <w:rPr>
          <w:rFonts w:cs="Times New Roman" w:ascii="Times New Roman" w:hAnsi="Times New Roman"/>
        </w:rPr>
        <w:t xml:space="preserve">: «Item conuenit </w:t>
      </w:r>
      <w:r>
        <w:rPr>
          <w:rFonts w:cs="Times New Roman" w:ascii="Times New Roman" w:hAnsi="Times New Roman"/>
          <w:b/>
          <w:bCs/>
          <w:i/>
          <w:iCs/>
          <w:u w:val="single"/>
        </w:rPr>
        <w:t>quaestiones</w:t>
      </w:r>
      <w:r>
        <w:rPr>
          <w:rFonts w:cs="Times New Roman" w:ascii="Times New Roman" w:hAnsi="Times New Roman"/>
        </w:rPr>
        <w:t xml:space="preserve"> esse aut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u w:val="none"/>
        </w:rPr>
        <w:t>infinitas</w:t>
      </w:r>
      <w:r>
        <w:rPr>
          <w:rFonts w:cs="Times New Roman" w:ascii="Times New Roman" w:hAnsi="Times New Roman"/>
        </w:rPr>
        <w:t xml:space="preserve"> aut </w:t>
      </w:r>
      <w:r>
        <w:rPr>
          <w:rFonts w:cs="Times New Roman" w:ascii="Times New Roman" w:hAnsi="Times New Roman"/>
          <w:b/>
          <w:bCs/>
          <w:i/>
          <w:iCs/>
          <w:u w:val="single"/>
        </w:rPr>
        <w:t>finitas</w:t>
      </w:r>
      <w:r>
        <w:rPr>
          <w:rFonts w:cs="Times New Roman" w:ascii="Times New Roman" w:hAnsi="Times New Roman"/>
        </w:rPr>
        <w:t xml:space="preserve">… </w:t>
      </w:r>
      <w:r>
        <w:rPr>
          <w:rFonts w:cs="Times New Roman" w:ascii="Times New Roman" w:hAnsi="Times New Roman"/>
          <w:b/>
          <w:bCs/>
          <w:i/>
          <w:iCs/>
          <w:u w:val="single"/>
        </w:rPr>
        <w:t>Finitae</w:t>
      </w:r>
      <w:r>
        <w:rPr>
          <w:rFonts w:cs="Times New Roman" w:ascii="Times New Roman" w:hAnsi="Times New Roman"/>
        </w:rPr>
        <w:t xml:space="preserve"> autem sunt ex complexu rerum personarum temporum ceterorumque: hae </w:t>
      </w:r>
      <w:r>
        <w:rPr>
          <w:rFonts w:cs="Times New Roman" w:ascii="Times New Roman" w:hAnsi="Times New Roman"/>
          <w:b/>
          <w:bCs/>
          <w:i/>
          <w:iCs/>
          <w:u w:val="single"/>
        </w:rPr>
        <w:t>ὑποθέσεις</w:t>
      </w:r>
      <w:r>
        <w:rPr>
          <w:rFonts w:cs="Times New Roman" w:ascii="Times New Roman" w:hAnsi="Times New Roman"/>
        </w:rPr>
        <w:t xml:space="preserve"> a Graecis dicuntur, </w:t>
      </w:r>
      <w:r>
        <w:rPr>
          <w:rFonts w:cs="Times New Roman" w:ascii="Times New Roman" w:hAnsi="Times New Roman"/>
          <w:b/>
          <w:bCs/>
          <w:i/>
          <w:iCs/>
          <w:u w:val="single"/>
        </w:rPr>
        <w:t>causae</w:t>
      </w:r>
      <w:r>
        <w:rPr>
          <w:rFonts w:cs="Times New Roman" w:ascii="Times New Roman" w:hAnsi="Times New Roman"/>
        </w:rPr>
        <w:t xml:space="preserve"> a nostris». Таким образом, мы видим, что лексема ὑπόθεσις может выступать в </w:t>
      </w:r>
      <w:r>
        <w:rPr>
          <w:rFonts w:cs="Times New Roman" w:ascii="Times New Roman" w:hAnsi="Times New Roman"/>
        </w:rPr>
        <w:t xml:space="preserve">специфическом </w:t>
      </w:r>
      <w:r>
        <w:rPr>
          <w:rFonts w:cs="Times New Roman" w:ascii="Times New Roman" w:hAnsi="Times New Roman"/>
        </w:rPr>
        <w:t xml:space="preserve">риторическом значении как некоторый «специальный, ограниченный вопрос, конкретный случай», который противопоставляется вопросам общим, неограниченным. Далее, сам Цицерон в «Топике» обращается к данному слову всё в том же риторическом контексте, </w:t>
      </w:r>
      <w:r>
        <w:rPr>
          <w:rFonts w:cs="Times New Roman" w:ascii="Times New Roman" w:hAnsi="Times New Roman"/>
        </w:rPr>
        <w:t>Cic. Top. 79</w:t>
      </w:r>
      <w:r>
        <w:rPr>
          <w:rFonts w:cs="Times New Roman" w:ascii="Times New Roman" w:hAnsi="Times New Roman"/>
        </w:rPr>
        <w:t>: «</w:t>
      </w:r>
      <w:r>
        <w:rPr>
          <w:rFonts w:cs="Times New Roman" w:ascii="Times New Roman" w:hAnsi="Times New Roman"/>
          <w:b/>
          <w:bCs/>
          <w:i/>
          <w:iCs/>
          <w:u w:val="single"/>
        </w:rPr>
        <w:t>Quaestionum</w:t>
      </w:r>
      <w:r>
        <w:rPr>
          <w:rFonts w:cs="Times New Roman" w:ascii="Times New Roman" w:hAnsi="Times New Roman"/>
        </w:rPr>
        <w:t xml:space="preserve"> duo genera sunt: alterum infinitum, </w:t>
      </w:r>
      <w:r>
        <w:rPr>
          <w:rFonts w:cs="Times New Roman" w:ascii="Times New Roman" w:hAnsi="Times New Roman"/>
          <w:b/>
          <w:bCs/>
          <w:i/>
          <w:iCs/>
          <w:u w:val="single"/>
        </w:rPr>
        <w:t>definitum</w:t>
      </w:r>
      <w:r>
        <w:rPr>
          <w:rFonts w:cs="Times New Roman" w:ascii="Times New Roman" w:hAnsi="Times New Roman"/>
        </w:rPr>
        <w:t xml:space="preserve"> alterum. </w:t>
      </w:r>
      <w:r>
        <w:rPr>
          <w:rFonts w:cs="Times New Roman" w:ascii="Times New Roman" w:hAnsi="Times New Roman"/>
          <w:b/>
          <w:bCs/>
          <w:i/>
          <w:iCs/>
          <w:u w:val="single"/>
        </w:rPr>
        <w:t>Definitum</w:t>
      </w:r>
      <w:r>
        <w:rPr>
          <w:rFonts w:cs="Times New Roman" w:ascii="Times New Roman" w:hAnsi="Times New Roman"/>
        </w:rPr>
        <w:t xml:space="preserve"> est quod </w:t>
      </w:r>
      <w:r>
        <w:rPr>
          <w:rFonts w:cs="Times New Roman" w:ascii="Times New Roman" w:hAnsi="Times New Roman"/>
          <w:b/>
          <w:bCs/>
          <w:i/>
          <w:iCs/>
          <w:u w:val="single"/>
        </w:rPr>
        <w:t>ὑπόθεσιν</w:t>
      </w:r>
      <w:r>
        <w:rPr>
          <w:rFonts w:cs="Times New Roman" w:ascii="Times New Roman" w:hAnsi="Times New Roman"/>
        </w:rPr>
        <w:t xml:space="preserve"> Graeci, nos causam; infinitum quod θέσιν illi appellant, nos propositum possumus nominare». Мы видим, </w:t>
      </w:r>
      <w:r>
        <w:rPr>
          <w:rFonts w:cs="Times New Roman" w:ascii="Times New Roman" w:hAnsi="Times New Roman"/>
        </w:rPr>
        <w:t>таким образом,</w:t>
      </w:r>
      <w:r>
        <w:rPr>
          <w:rFonts w:cs="Times New Roman" w:ascii="Times New Roman" w:hAnsi="Times New Roman"/>
        </w:rPr>
        <w:t xml:space="preserve"> что Цицерон был прекрасно знаком со специальным значением рассматриваемой нами лексемы. Добавим к этому сам контекст письма, где ὑπόθεσις употребляется в ряду других специальных риторических терминов, </w:t>
      </w:r>
      <w:r>
        <w:rPr>
          <w:rFonts w:cs="Times New Roman" w:ascii="Times New Roman" w:hAnsi="Times New Roman"/>
        </w:rPr>
        <w:t xml:space="preserve">таких как </w:t>
      </w:r>
      <w:r>
        <w:rPr>
          <w:rFonts w:cs="Times New Roman" w:ascii="Times New Roman" w:hAnsi="Times New Roman"/>
        </w:rPr>
        <w:t xml:space="preserve">περίοδοι, καμπαὶ, ἐνθυμήματα, κατασκευαί. </w:t>
      </w:r>
    </w:p>
    <w:p>
      <w:pPr>
        <w:pStyle w:val="Normal"/>
        <w:spacing w:lineRule="auto" w:line="240" w:before="0" w:after="0"/>
        <w:ind w:firstLine="397"/>
        <w:jc w:val="both"/>
        <w:rPr/>
      </w:pPr>
      <w:r>
        <w:rPr>
          <w:rFonts w:cs="Times New Roman" w:ascii="Times New Roman" w:hAnsi="Times New Roman"/>
        </w:rPr>
        <w:t xml:space="preserve">Так, </w:t>
      </w:r>
      <w:r>
        <w:rPr>
          <w:rFonts w:cs="Times New Roman" w:ascii="Times New Roman" w:hAnsi="Times New Roman"/>
        </w:rPr>
        <w:t xml:space="preserve">при понимании </w:t>
      </w:r>
      <w:r>
        <w:rPr>
          <w:rFonts w:cs="Times New Roman" w:ascii="Times New Roman" w:hAnsi="Times New Roman"/>
        </w:rPr>
        <w:t>лексемы</w:t>
      </w:r>
      <w:r>
        <w:rPr>
          <w:rFonts w:cs="Times New Roman" w:ascii="Times New Roman" w:hAnsi="Times New Roman"/>
        </w:rPr>
        <w:t xml:space="preserve"> ὑπόθεσι</w:t>
      </w:r>
      <w:r>
        <w:rPr>
          <w:rFonts w:cs="Times New Roman" w:ascii="Times New Roman" w:hAnsi="Times New Roman"/>
        </w:rPr>
        <w:t xml:space="preserve">ς </w:t>
      </w:r>
      <w:r>
        <w:rPr>
          <w:rFonts w:cs="Times New Roman" w:ascii="Times New Roman" w:hAnsi="Times New Roman"/>
        </w:rPr>
        <w:t>как «</w:t>
      </w:r>
      <w:r>
        <w:rPr>
          <w:rFonts w:cs="Times New Roman" w:ascii="Times New Roman" w:hAnsi="Times New Roman"/>
          <w:i/>
          <w:iCs/>
        </w:rPr>
        <w:t>конкретный, специфический вопрос</w:t>
      </w:r>
      <w:r>
        <w:rPr>
          <w:rFonts w:cs="Times New Roman" w:ascii="Times New Roman" w:hAnsi="Times New Roman"/>
        </w:rPr>
        <w:t xml:space="preserve">», перед нами открывается возможность адекватного объяснения постановки единственного числа рассматриваемой лексемы при последующем перечислении, т. е. понять слова Цицерона примерно следующим образом: «...крики одобрения, поскольку </w:t>
      </w:r>
      <w:r>
        <w:rPr>
          <w:rFonts w:cs="Times New Roman" w:ascii="Times New Roman" w:hAnsi="Times New Roman"/>
          <w:i/>
          <w:iCs/>
        </w:rPr>
        <w:t xml:space="preserve">специальным / конкретным предметом речи было </w:t>
      </w:r>
      <w:r>
        <w:rPr>
          <w:rFonts w:cs="Times New Roman" w:ascii="Times New Roman" w:hAnsi="Times New Roman"/>
        </w:rPr>
        <w:t>следующее: ...».</w:t>
      </w:r>
    </w:p>
    <w:p>
      <w:pPr>
        <w:pStyle w:val="Normal"/>
        <w:spacing w:lineRule="auto" w:line="240" w:before="0" w:after="0"/>
        <w:ind w:firstLine="39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firstLine="397"/>
        <w:jc w:val="center"/>
        <w:rPr/>
      </w:pPr>
      <w:r>
        <w:rPr>
          <w:rFonts w:cs="Times New Roman" w:ascii="Times New Roman" w:hAnsi="Times New Roman"/>
          <w:b/>
          <w:bCs/>
        </w:rPr>
        <w:t>Литература</w:t>
      </w:r>
    </w:p>
    <w:p>
      <w:pPr>
        <w:pStyle w:val="Normal"/>
        <w:spacing w:lineRule="auto" w:line="240" w:before="0" w:after="0"/>
        <w:ind w:firstLine="397" w:start="0"/>
        <w:rPr/>
      </w:pPr>
      <w:r>
        <w:rPr>
          <w:rFonts w:cs="Times New Roman" w:ascii="Times New Roman" w:hAnsi="Times New Roman"/>
          <w:lang w:val="en-US"/>
        </w:rPr>
        <w:t>1. M. Tullii Ciceronis ad Atticum epistularum libri sedecim, fasciculus primus / Recensuit H. Sjögren. Gotoburgi: Eranos, 1926.</w:t>
      </w:r>
    </w:p>
    <w:p>
      <w:pPr>
        <w:pStyle w:val="Normal"/>
        <w:spacing w:lineRule="auto" w:line="240" w:before="0" w:after="0"/>
        <w:ind w:firstLine="397"/>
        <w:rPr/>
      </w:pPr>
      <w:r>
        <w:rPr>
          <w:rFonts w:cs="Times New Roman" w:ascii="Times New Roman" w:hAnsi="Times New Roman"/>
          <w:lang w:val="en-US"/>
        </w:rPr>
        <w:t>2. Cicero’s letters to Atticus, vol. I / Edited by D.R. Shackleton Bailey. Cambridge, 1965.</w:t>
      </w:r>
    </w:p>
    <w:p>
      <w:pPr>
        <w:pStyle w:val="Normal"/>
        <w:spacing w:lineRule="auto" w:line="240" w:before="0" w:after="0"/>
        <w:ind w:firstLine="397"/>
        <w:rPr/>
      </w:pPr>
      <w:r>
        <w:rPr>
          <w:rFonts w:cs="Times New Roman" w:ascii="Times New Roman" w:hAnsi="Times New Roman"/>
          <w:lang w:val="en-US"/>
        </w:rPr>
        <w:t>3. Robert Yelverton Tyrrell and Louis Claude Purser, The Correspondence of M. Tullius Cicero, Arranged According to its Chronological Order; with a Revision of the Text, a Commentary, and Introductory Essays (vol. 1, Dublin: Hodges &amp; Figgis, 1885).</w:t>
      </w:r>
    </w:p>
    <w:p>
      <w:pPr>
        <w:pStyle w:val="Normal"/>
        <w:spacing w:lineRule="auto" w:line="240" w:before="0" w:after="0"/>
        <w:ind w:firstLine="397"/>
        <w:rPr/>
      </w:pPr>
      <w:r>
        <w:rPr>
          <w:rFonts w:cs="Times New Roman" w:ascii="Times New Roman" w:hAnsi="Times New Roman"/>
          <w:lang w:val="en-US"/>
        </w:rPr>
        <w:t>4. Письма Марка Туллия Цицерона к Аттику, близким, брату Квинту, М. Бруту. Т. I, годы 68—51 / Перевод и комментарии В. О. Горенштейна. Издательство Академии Наук СССР, Москва - Ленинград, 1949.</w:t>
      </w:r>
    </w:p>
    <w:p>
      <w:pPr>
        <w:pStyle w:val="Normal"/>
        <w:spacing w:lineRule="auto" w:line="240" w:before="0" w:after="0"/>
        <w:ind w:firstLine="397"/>
        <w:rPr/>
      </w:pPr>
      <w:r>
        <w:rPr>
          <w:rFonts w:cs="Times New Roman" w:ascii="Times New Roman" w:hAnsi="Times New Roman"/>
          <w:lang w:val="en-US"/>
        </w:rPr>
        <w:t>5. Цицерон. Эстетика: трактаты, речи, письма. / Перевод А. Е. Кузнецова. Комментарий Н. А. Кулькова, Е. П. Ореханова. М., 1994.</w:t>
      </w:r>
    </w:p>
    <w:sectPr>
      <w:type w:val="nextPage"/>
      <w:pgSz w:w="11906" w:h="16838"/>
      <w:pgMar w:left="1361" w:right="136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ptos">
    <w:charset w:val="01" w:characterSet="utf-8"/>
    <w:family w:val="roman"/>
    <w:pitch w:val="variable"/>
  </w:font>
  <w:font w:name="Aptos Display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8" w:before="0" w:after="160"/>
      <w:jc w:val="star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ru-RU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1"/>
    <w:uiPriority w:val="9"/>
    <w:qFormat/>
    <w:rsid w:val="00771fe7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771fe7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771fe7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771fe7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771fe7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771fe7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771fe7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771fe7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771fe7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1" w:customStyle="1">
    <w:name w:val="Заголовок 1 Знак"/>
    <w:basedOn w:val="DefaultParagraphFont"/>
    <w:link w:val="Heading1"/>
    <w:uiPriority w:val="9"/>
    <w:qFormat/>
    <w:rsid w:val="00771fe7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2" w:customStyle="1">
    <w:name w:val="Заголовок 2 Знак"/>
    <w:basedOn w:val="DefaultParagraphFont"/>
    <w:link w:val="Heading2"/>
    <w:uiPriority w:val="9"/>
    <w:semiHidden/>
    <w:qFormat/>
    <w:rsid w:val="00771fe7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3" w:customStyle="1">
    <w:name w:val="Заголовок 3 Знак"/>
    <w:basedOn w:val="DefaultParagraphFont"/>
    <w:link w:val="Heading3"/>
    <w:uiPriority w:val="9"/>
    <w:semiHidden/>
    <w:qFormat/>
    <w:rsid w:val="00771fe7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4" w:customStyle="1">
    <w:name w:val="Заголовок 4 Знак"/>
    <w:basedOn w:val="DefaultParagraphFont"/>
    <w:link w:val="Heading4"/>
    <w:uiPriority w:val="9"/>
    <w:semiHidden/>
    <w:qFormat/>
    <w:rsid w:val="00771fe7"/>
    <w:rPr>
      <w:rFonts w:eastAsia="" w:cs="" w:cstheme="majorBidi" w:eastAsiaTheme="majorEastAsia"/>
      <w:i/>
      <w:iCs/>
      <w:color w:themeColor="accent1" w:themeShade="bf" w:val="0F4761"/>
    </w:rPr>
  </w:style>
  <w:style w:type="character" w:styleId="5" w:customStyle="1">
    <w:name w:val="Заголовок 5 Знак"/>
    <w:basedOn w:val="DefaultParagraphFont"/>
    <w:link w:val="Heading5"/>
    <w:uiPriority w:val="9"/>
    <w:semiHidden/>
    <w:qFormat/>
    <w:rsid w:val="00771fe7"/>
    <w:rPr>
      <w:rFonts w:eastAsia="" w:cs="" w:cstheme="majorBidi" w:eastAsiaTheme="majorEastAsia"/>
      <w:color w:themeColor="accent1" w:themeShade="bf" w:val="0F4761"/>
    </w:rPr>
  </w:style>
  <w:style w:type="character" w:styleId="6" w:customStyle="1">
    <w:name w:val="Заголовок 6 Знак"/>
    <w:basedOn w:val="DefaultParagraphFont"/>
    <w:link w:val="Heading6"/>
    <w:uiPriority w:val="9"/>
    <w:semiHidden/>
    <w:qFormat/>
    <w:rsid w:val="00771fe7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link w:val="Heading7"/>
    <w:uiPriority w:val="9"/>
    <w:semiHidden/>
    <w:qFormat/>
    <w:rsid w:val="00771fe7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link w:val="Heading8"/>
    <w:uiPriority w:val="9"/>
    <w:semiHidden/>
    <w:qFormat/>
    <w:rsid w:val="00771fe7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link w:val="Heading9"/>
    <w:uiPriority w:val="9"/>
    <w:semiHidden/>
    <w:qFormat/>
    <w:rsid w:val="00771fe7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Заголовок Знак"/>
    <w:basedOn w:val="DefaultParagraphFont"/>
    <w:link w:val="Title"/>
    <w:uiPriority w:val="10"/>
    <w:qFormat/>
    <w:rsid w:val="00771fe7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link w:val="Subtitle"/>
    <w:uiPriority w:val="11"/>
    <w:qFormat/>
    <w:rsid w:val="00771fe7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771fe7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771fe7"/>
    <w:rPr>
      <w:i/>
      <w:iCs/>
      <w:color w:themeColor="accent1" w:themeShade="bf" w:val="0F4761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771fe7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771fe7"/>
    <w:rPr>
      <w:b/>
      <w:bCs/>
      <w:smallCaps/>
      <w:color w:themeColor="accent1" w:themeShade="bf" w:val="0F4761"/>
      <w:spacing w:val="5"/>
    </w:rPr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Normal"/>
    <w:link w:val="Style5"/>
    <w:uiPriority w:val="10"/>
    <w:qFormat/>
    <w:rsid w:val="00771fe7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rsid w:val="00771fe7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rsid w:val="00771fe7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771fe7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771f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Application>LibreOffice/25.8.4.2$Linux_X86_64 LibreOffice_project/580$Build-2</Application>
  <AppVersion>15.0000</AppVersion>
  <Pages>2</Pages>
  <Words>648</Words>
  <Characters>4144</Characters>
  <CharactersWithSpaces>4779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2026-03-01T17:36:00Z</dcterms:created>
  <dc:creator>user</dc:creator>
  <dc:description/>
  <dc:language>en-US</dc:language>
  <cp:lastModifiedBy/>
  <dcterms:modified xsi:type="dcterms:W3CDTF">2026-03-08T22:10:17Z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