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jc w:val="center"/>
        <w:textAlignment w:val="auto"/>
        <w:rPr>
          <w:rFonts w:hint="eastAsia"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Трудность иностранных учащихся при освоении</w:t>
      </w:r>
      <w:r>
        <w:rPr>
          <w:rFonts w:ascii="Times New Roman" w:hAnsi="Times New Roman"/>
          <w:b/>
          <w:bCs/>
          <w:sz w:val="24"/>
        </w:rPr>
        <w:t> </w:t>
      </w:r>
      <w:r>
        <w:rPr>
          <w:rFonts w:ascii="Times New Roman" w:hAnsi="Times New Roman"/>
          <w:b/>
          <w:bCs/>
          <w:color w:val="auto"/>
          <w:sz w:val="24"/>
          <w:lang w:val="ru-RU"/>
        </w:rPr>
        <w:t>русских</w:t>
      </w:r>
      <w:r>
        <w:rPr>
          <w:rFonts w:ascii="Times New Roman" w:hAnsi="Times New Roman"/>
          <w:b/>
          <w:bCs/>
          <w:color w:val="FF0000"/>
          <w:sz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lang w:val="ru-RU"/>
        </w:rPr>
        <w:t>немаркированных неопределенных местоимений</w:t>
      </w:r>
      <w:r>
        <w:rPr>
          <w:rFonts w:ascii="Times New Roman" w:hAnsi="Times New Roman"/>
          <w:b/>
          <w:bCs/>
          <w:sz w:val="24"/>
          <w:lang w:val="ru-RU"/>
        </w:rPr>
        <w:br w:type="textWrapping"/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Хоу Цзямэй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br w:type="textWrapping"/>
      </w:r>
      <w:r>
        <w:rPr>
          <w:rFonts w:ascii="Times New Roman" w:hAnsi="Times New Roman"/>
          <w:i/>
          <w:iCs/>
          <w:sz w:val="24"/>
          <w:lang w:val="ru-RU"/>
        </w:rPr>
        <w:t xml:space="preserve">Аспирант </w:t>
      </w:r>
      <w:r>
        <w:rPr>
          <w:rFonts w:ascii="Times New Roman" w:hAnsi="Times New Roman"/>
          <w:i/>
          <w:iCs/>
          <w:sz w:val="24"/>
          <w:lang w:val="ru-RU"/>
        </w:rPr>
        <w:br w:type="textWrapping"/>
      </w:r>
      <w:r>
        <w:rPr>
          <w:rFonts w:ascii="Times New Roman" w:hAnsi="Times New Roman"/>
          <w:i/>
          <w:iCs/>
          <w:sz w:val="24"/>
          <w:lang w:val="ru-RU"/>
        </w:rPr>
        <w:t>Санкт-петербургский политехнический университет Петра Великого</w:t>
      </w:r>
      <w:r>
        <w:rPr>
          <w:rFonts w:ascii="Times New Roman" w:hAnsi="Times New Roman"/>
          <w:i/>
          <w:iCs/>
          <w:sz w:val="24"/>
          <w:lang w:val="ru-RU"/>
        </w:rPr>
        <w:br w:type="textWrapping"/>
      </w:r>
      <w:r>
        <w:rPr>
          <w:rFonts w:ascii="Times New Roman" w:hAnsi="Times New Roman"/>
          <w:i/>
          <w:iCs/>
          <w:sz w:val="24"/>
          <w:lang w:val="ru-RU"/>
        </w:rPr>
        <w:t>Гуманитарный институт, Санкт-петербург, Россия</w:t>
      </w:r>
      <w:r>
        <w:rPr>
          <w:rFonts w:ascii="Times New Roman" w:hAnsi="Times New Roman"/>
          <w:i/>
          <w:iCs/>
          <w:sz w:val="24"/>
          <w:lang w:val="ru-RU"/>
        </w:rPr>
        <w:br w:type="textWrapping"/>
      </w:r>
      <w:r>
        <w:rPr>
          <w:rFonts w:ascii="Times New Roman" w:hAnsi="Times New Roman"/>
          <w:i/>
          <w:iCs/>
          <w:sz w:val="24"/>
          <w:lang w:val="ru-RU"/>
        </w:rPr>
        <w:t xml:space="preserve">E–mail: </w:t>
      </w:r>
      <w:r>
        <w:rPr>
          <w:rFonts w:hint="eastAsia" w:ascii="Times New Roman" w:hAnsi="Times New Roman"/>
          <w:i/>
          <w:iCs/>
          <w:sz w:val="24"/>
        </w:rPr>
        <w:t>wangjiajia</w:t>
      </w:r>
      <w:r>
        <w:rPr>
          <w:rFonts w:hint="eastAsia" w:ascii="Times New Roman" w:hAnsi="Times New Roman"/>
          <w:i/>
          <w:iCs/>
          <w:sz w:val="24"/>
          <w:lang w:val="ru-RU"/>
        </w:rPr>
        <w:t>093@</w:t>
      </w:r>
      <w:r>
        <w:rPr>
          <w:rFonts w:hint="eastAsia" w:ascii="Times New Roman" w:hAnsi="Times New Roman"/>
          <w:i/>
          <w:iCs/>
          <w:sz w:val="24"/>
        </w:rPr>
        <w:t>gmail</w:t>
      </w:r>
      <w:r>
        <w:rPr>
          <w:rFonts w:hint="eastAsia" w:ascii="Times New Roman" w:hAnsi="Times New Roman"/>
          <w:i/>
          <w:iCs/>
          <w:sz w:val="24"/>
          <w:lang w:val="ru-RU"/>
        </w:rPr>
        <w:t>.</w:t>
      </w:r>
      <w:r>
        <w:rPr>
          <w:rFonts w:hint="eastAsia" w:ascii="Times New Roman" w:hAnsi="Times New Roman"/>
          <w:i/>
          <w:iCs/>
          <w:sz w:val="24"/>
        </w:rPr>
        <w:t>com</w:t>
      </w:r>
    </w:p>
    <w:p w14:paraId="2C9F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системе средств выражения неопределенности русского языка особое место занимают немаркированные неопределенные местоимения. В отличие от канонических форм с аффиксами</w:t>
      </w:r>
      <w:r>
        <w:rPr>
          <w:rFonts w:ascii="Times New Roman" w:hAnsi="Times New Roman"/>
          <w:i/>
          <w:iCs/>
          <w:sz w:val="24"/>
          <w:lang w:val="ru-RU"/>
        </w:rPr>
        <w:t> -то, -либо, -нибудь, кое-</w:t>
      </w:r>
      <w:r>
        <w:rPr>
          <w:rFonts w:ascii="Times New Roman" w:hAnsi="Times New Roman"/>
          <w:sz w:val="24"/>
          <w:lang w:val="ru-RU"/>
        </w:rPr>
        <w:t>, данные единицы (</w:t>
      </w:r>
      <w:r>
        <w:rPr>
          <w:rFonts w:ascii="Times New Roman" w:hAnsi="Times New Roman"/>
          <w:i/>
          <w:iCs/>
          <w:sz w:val="24"/>
          <w:lang w:val="ru-RU"/>
        </w:rPr>
        <w:t>кто, что, какой, где</w:t>
      </w:r>
      <w:r>
        <w:rPr>
          <w:rFonts w:ascii="Times New Roman" w:hAnsi="Times New Roman"/>
          <w:sz w:val="24"/>
          <w:lang w:val="ru-RU"/>
        </w:rPr>
        <w:t> и др.) формально совпадают с вопросительно-относительными местоимениями.</w:t>
      </w:r>
      <w:r>
        <w:rPr>
          <w:rFonts w:ascii="Times New Roman" w:hAnsi="Times New Roman"/>
          <w:color w:val="auto"/>
          <w:sz w:val="24"/>
          <w:lang w:val="ru-RU"/>
        </w:rPr>
        <w:t xml:space="preserve"> Например: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i/>
          <w:iCs/>
          <w:color w:val="auto"/>
          <w:sz w:val="24"/>
          <w:lang w:val="ru-RU" w:eastAsia="zh-CN"/>
        </w:rPr>
        <w:t>Если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 xml:space="preserve"> кто спросит, скажи, что я в библиотеке» (кто = кто-нибудь. Дай что почитать» (что = что-нибудь). 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Более сложные структуры представляют собой синтаксические амальгамы (модель «Незнание»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>: «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В дверь постучал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> неизвестно кто», «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Принес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 xml:space="preserve"> бог весть что») 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и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> 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квазирелятивы (модель «свободный выбор»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>: «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Не приглашай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> кого попало», «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>Достанет</w:t>
      </w:r>
      <w:r>
        <w:rPr>
          <w:rFonts w:hint="default" w:ascii="Times New Roman" w:hAnsi="Times New Roman"/>
          <w:i/>
          <w:iCs/>
          <w:color w:val="auto"/>
          <w:sz w:val="24"/>
          <w:lang w:val="ru-RU" w:eastAsia="zh-CN"/>
        </w:rPr>
        <w:t xml:space="preserve"> что угодно»), </w:t>
      </w:r>
      <w:r>
        <w:rPr>
          <w:rFonts w:hint="default" w:ascii="Times New Roman" w:hAnsi="Times New Roman"/>
          <w:i w:val="0"/>
          <w:iCs w:val="0"/>
          <w:color w:val="auto"/>
          <w:sz w:val="24"/>
          <w:lang w:val="ru-RU" w:eastAsia="zh-CN"/>
        </w:rPr>
        <w:t xml:space="preserve">которые, согласно концепции Я. Г. Тестельца и Г. И. Кустовой, функционируют как монолитные лексические узлы. </w:t>
      </w:r>
      <w:r>
        <w:rPr>
          <w:rFonts w:ascii="Times New Roman" w:hAnsi="Times New Roman"/>
          <w:sz w:val="24"/>
          <w:lang w:val="ru-RU"/>
        </w:rPr>
        <w:t xml:space="preserve">Несмотря на то, что стандарты русского </w:t>
      </w:r>
      <w:r>
        <w:rPr>
          <w:rFonts w:ascii="Times New Roman" w:hAnsi="Times New Roman"/>
          <w:color w:val="auto"/>
          <w:sz w:val="24"/>
          <w:lang w:val="ru-RU"/>
        </w:rPr>
        <w:t>языка</w:t>
      </w:r>
      <w:r>
        <w:rPr>
          <w:rFonts w:ascii="Times New Roman" w:hAnsi="Times New Roman"/>
          <w:sz w:val="24"/>
          <w:lang w:val="ru-RU"/>
        </w:rPr>
        <w:t xml:space="preserve"> как иностранного (уровень B1) фокусируются на маркированных сериях, немаркированные формы составляют до 40% употреблений в нейтральном нарративе </w:t>
      </w:r>
      <w:r>
        <w:rPr>
          <w:rFonts w:hint="eastAsia" w:ascii="Times New Roman" w:hAnsi="Times New Roman"/>
          <w:sz w:val="24"/>
          <w:lang w:val="ru-RU"/>
        </w:rPr>
        <w:t>[</w:t>
      </w:r>
      <w:r>
        <w:rPr>
          <w:rFonts w:hint="default" w:ascii="Times New Roman" w:hAnsi="Times New Roman"/>
          <w:sz w:val="24"/>
          <w:lang w:val="ru-RU"/>
        </w:rPr>
        <w:t>Третьякова 2009: 136</w:t>
      </w:r>
      <w:r>
        <w:rPr>
          <w:rFonts w:hint="eastAsia" w:ascii="Times New Roman" w:hAnsi="Times New Roman"/>
          <w:sz w:val="24"/>
          <w:lang w:val="ru-RU"/>
        </w:rPr>
        <w:t>]</w:t>
      </w:r>
      <w:r>
        <w:rPr>
          <w:rFonts w:ascii="Times New Roman" w:hAnsi="Times New Roman"/>
          <w:sz w:val="24"/>
          <w:lang w:val="ru-RU"/>
        </w:rPr>
        <w:t xml:space="preserve">. Их освоение представляет значительную трудность для инофонов, что порождает специфическую типологию </w:t>
      </w:r>
      <w:r>
        <w:rPr>
          <w:rFonts w:ascii="Times New Roman" w:hAnsi="Times New Roman"/>
          <w:sz w:val="24"/>
          <w:highlight w:val="none"/>
          <w:lang w:val="ru-RU"/>
        </w:rPr>
        <w:t>речевых ошибок.</w:t>
      </w:r>
    </w:p>
    <w:p w14:paraId="6ACE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i w:val="0"/>
          <w:iCs w:val="0"/>
          <w:color w:val="auto"/>
          <w:sz w:val="24"/>
          <w:lang w:val="ru-RU"/>
        </w:rPr>
      </w:pPr>
      <w:r>
        <w:rPr>
          <w:rFonts w:ascii="Times New Roman" w:hAnsi="Times New Roman"/>
          <w:i w:val="0"/>
          <w:iCs w:val="0"/>
          <w:color w:val="auto"/>
          <w:sz w:val="24"/>
          <w:lang w:val="ru-RU"/>
        </w:rPr>
        <w:t xml:space="preserve">Типичными трудностями являются: </w:t>
      </w:r>
    </w:p>
    <w:p w14:paraId="0C5942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color w:val="auto"/>
          <w:sz w:val="24"/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 xml:space="preserve">Преодоление внутренней фонетической интерференции </w:t>
      </w:r>
    </w:p>
    <w:p w14:paraId="7612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Вопросительные местоимения в русском языке всегда несут фразовое ударение, в то время как немаркированные неопределённые местоимения функционируют как клитики (безударные элементы). Для иноязычных учащихся это порождает интерференционную трудность: отсутствие дифференциации форм на слух приводит к ошибочному акцентированию неопределённых местоимений в контекстах типа «</w:t>
      </w:r>
      <w:r>
        <w:rPr>
          <w:rFonts w:ascii="Times New Roman" w:hAnsi="Times New Roman"/>
          <w:i/>
          <w:iCs/>
          <w:sz w:val="24"/>
          <w:lang w:val="ru-RU"/>
        </w:rPr>
        <w:t>Если КТО придёт...</w:t>
      </w:r>
      <w:r>
        <w:rPr>
          <w:rFonts w:ascii="Times New Roman" w:hAnsi="Times New Roman"/>
          <w:sz w:val="24"/>
          <w:lang w:val="ru-RU"/>
        </w:rPr>
        <w:t xml:space="preserve">», что искажает интонационный контур, превращая утверждение в вопросительное или создавая неестественную просодическую структуру. Первичным этапом преодоления данной </w:t>
      </w:r>
      <w:r>
        <w:rPr>
          <w:rFonts w:ascii="Times New Roman" w:hAnsi="Times New Roman"/>
          <w:color w:val="auto"/>
          <w:sz w:val="24"/>
          <w:highlight w:val="none"/>
          <w:lang w:val="ru-RU"/>
        </w:rPr>
        <w:t>фонетической интерференции</w:t>
      </w:r>
      <w:r>
        <w:rPr>
          <w:rFonts w:ascii="Times New Roman" w:hAnsi="Times New Roman"/>
          <w:sz w:val="24"/>
          <w:lang w:val="ru-RU"/>
        </w:rPr>
        <w:t xml:space="preserve"> выступает целенаправленная отработка безударности неопределённых местоимений.</w:t>
      </w:r>
    </w:p>
    <w:p w14:paraId="1FE11F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color w:val="auto"/>
          <w:sz w:val="24"/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Преодоление внутриязыковой синтаксической интерференции</w:t>
      </w:r>
    </w:p>
    <w:p w14:paraId="58D1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highlight w:val="none"/>
          <w:lang w:val="ru-RU"/>
        </w:rPr>
        <w:t>Немаркированные формы неопределённых местоимений с нулевым показателем (НМБП) допускаются в строго ограниченных контекстах разрешения: 1) протазис условного предложения («</w:t>
      </w:r>
      <w:r>
        <w:rPr>
          <w:rFonts w:ascii="Times New Roman" w:hAnsi="Times New Roman"/>
          <w:i/>
          <w:iCs/>
          <w:sz w:val="24"/>
          <w:highlight w:val="none"/>
          <w:lang w:val="ru-RU"/>
        </w:rPr>
        <w:t>Если кто спросит, скажи, что меня нет</w:t>
      </w:r>
      <w:r>
        <w:rPr>
          <w:rFonts w:ascii="Times New Roman" w:hAnsi="Times New Roman"/>
          <w:sz w:val="24"/>
          <w:highlight w:val="none"/>
          <w:lang w:val="ru-RU"/>
        </w:rPr>
        <w:t>»); 2) общий вопрос («</w:t>
      </w:r>
      <w:r>
        <w:rPr>
          <w:rFonts w:ascii="Times New Roman" w:hAnsi="Times New Roman"/>
          <w:i/>
          <w:iCs/>
          <w:sz w:val="24"/>
          <w:highlight w:val="none"/>
          <w:lang w:val="ru-RU"/>
        </w:rPr>
        <w:t>Видел ли ты когда что интересное?</w:t>
      </w:r>
      <w:r>
        <w:rPr>
          <w:rFonts w:ascii="Times New Roman" w:hAnsi="Times New Roman"/>
          <w:sz w:val="24"/>
          <w:highlight w:val="none"/>
          <w:lang w:val="ru-RU"/>
        </w:rPr>
        <w:t>»); 3) ирреальные контексты («</w:t>
      </w:r>
      <w:r>
        <w:rPr>
          <w:rFonts w:ascii="Times New Roman" w:hAnsi="Times New Roman"/>
          <w:i/>
          <w:iCs/>
          <w:sz w:val="24"/>
          <w:highlight w:val="none"/>
          <w:lang w:val="ru-RU"/>
        </w:rPr>
        <w:t>Хоть бы кто помог!</w:t>
      </w:r>
      <w:r>
        <w:rPr>
          <w:rFonts w:ascii="Times New Roman" w:hAnsi="Times New Roman"/>
          <w:sz w:val="24"/>
          <w:highlight w:val="none"/>
          <w:lang w:val="ru-RU"/>
        </w:rPr>
        <w:t>», «</w:t>
      </w:r>
      <w:r>
        <w:rPr>
          <w:rFonts w:ascii="Times New Roman" w:hAnsi="Times New Roman"/>
          <w:i/>
          <w:iCs/>
          <w:sz w:val="24"/>
          <w:highlight w:val="none"/>
          <w:lang w:val="ru-RU"/>
        </w:rPr>
        <w:t>Принеси что почитать</w:t>
      </w:r>
      <w:r>
        <w:rPr>
          <w:rFonts w:ascii="Times New Roman" w:hAnsi="Times New Roman"/>
          <w:sz w:val="24"/>
          <w:highlight w:val="none"/>
          <w:lang w:val="ru-RU"/>
        </w:rPr>
        <w:t>»).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 w:eastAsia="zh-CN"/>
        </w:rPr>
        <w:t>Распространенная ошибка возникает, когда учащиеся ошибочно переносят эти краткие формы в обычные повествовательные предложения (например, говорят</w:t>
      </w:r>
      <w:r>
        <w:rPr>
          <w:rFonts w:hint="default" w:ascii="Times New Roman" w:hAnsi="Times New Roman"/>
          <w:sz w:val="24"/>
          <w:lang w:val="ru-RU" w:eastAsia="zh-CN"/>
        </w:rPr>
        <w:t> «</w:t>
      </w:r>
      <w:r>
        <w:rPr>
          <w:rFonts w:hint="default" w:ascii="Times New Roman" w:hAnsi="Times New Roman"/>
          <w:i/>
          <w:iCs/>
          <w:sz w:val="24"/>
          <w:lang w:val="ru-RU" w:eastAsia="zh-CN"/>
        </w:rPr>
        <w:t>Я купил что</w:t>
      </w:r>
      <w:r>
        <w:rPr>
          <w:rFonts w:hint="default" w:ascii="Times New Roman" w:hAnsi="Times New Roman"/>
          <w:sz w:val="24"/>
          <w:lang w:val="ru-RU" w:eastAsia="zh-CN"/>
        </w:rPr>
        <w:t>» вместо правильного «</w:t>
      </w:r>
      <w:r>
        <w:rPr>
          <w:rFonts w:hint="default" w:ascii="Times New Roman" w:hAnsi="Times New Roman"/>
          <w:i/>
          <w:iCs/>
          <w:sz w:val="24"/>
          <w:lang w:val="ru-RU" w:eastAsia="zh-CN"/>
        </w:rPr>
        <w:t>Я купил что-то</w:t>
      </w:r>
      <w:r>
        <w:rPr>
          <w:rFonts w:hint="default" w:ascii="Times New Roman" w:hAnsi="Times New Roman"/>
          <w:sz w:val="24"/>
          <w:lang w:val="ru-RU" w:eastAsia="zh-CN"/>
        </w:rPr>
        <w:t>»). В таких случаях отсутствие суффикса недопустимо, так как оно мешает правильно передать смысл конкретного, но неизвестного предмета. Чтобы исправить эту ошибку, необходимо научить студентов четко связывать выбор краткой формы с конкретным типом предложения</w:t>
      </w:r>
      <w:r>
        <w:rPr>
          <w:rFonts w:ascii="Times New Roman" w:hAnsi="Times New Roman"/>
          <w:sz w:val="24"/>
          <w:lang w:val="ru-RU"/>
        </w:rPr>
        <w:t>.</w:t>
      </w:r>
    </w:p>
    <w:p w14:paraId="761E52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 w:eastAsia="zh-CN"/>
        </w:rPr>
        <w:t xml:space="preserve">Преодоление внутриязыковой стилистической интерференции </w:t>
      </w:r>
    </w:p>
    <w:p w14:paraId="60C2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императивных контекстах (</w:t>
      </w:r>
      <w:r>
        <w:rPr>
          <w:rFonts w:hint="default" w:ascii="Times New Roman" w:hAnsi="Times New Roman"/>
          <w:sz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lang w:val="ru-RU"/>
        </w:rPr>
        <w:t>Дай что попить</w:t>
      </w:r>
      <w:r>
        <w:rPr>
          <w:rFonts w:hint="default" w:ascii="Times New Roman" w:hAnsi="Times New Roman"/>
          <w:sz w:val="24"/>
          <w:lang w:val="ru-RU"/>
        </w:rPr>
        <w:t>») немаркированные формы — норма носителей, обеспечивая разговорную лаконичность. Инофоны не дифференцируют «</w:t>
      </w:r>
      <w:r>
        <w:rPr>
          <w:rFonts w:hint="default" w:ascii="Times New Roman" w:hAnsi="Times New Roman"/>
          <w:i/>
          <w:iCs/>
          <w:sz w:val="24"/>
          <w:lang w:val="ru-RU"/>
        </w:rPr>
        <w:t>Дай что-нибудь...</w:t>
      </w:r>
      <w:r>
        <w:rPr>
          <w:rFonts w:hint="default" w:ascii="Times New Roman" w:hAnsi="Times New Roman"/>
          <w:sz w:val="24"/>
          <w:lang w:val="ru-RU"/>
        </w:rPr>
        <w:t>» (книжный) и «</w:t>
      </w:r>
      <w:r>
        <w:rPr>
          <w:rFonts w:hint="default" w:ascii="Times New Roman" w:hAnsi="Times New Roman"/>
          <w:i/>
          <w:iCs/>
          <w:sz w:val="24"/>
          <w:lang w:val="ru-RU"/>
        </w:rPr>
        <w:t>Дай что...</w:t>
      </w:r>
      <w:r>
        <w:rPr>
          <w:rFonts w:hint="default" w:ascii="Times New Roman" w:hAnsi="Times New Roman"/>
          <w:sz w:val="24"/>
          <w:lang w:val="ru-RU"/>
        </w:rPr>
        <w:t>» (разговорный).</w:t>
      </w:r>
    </w:p>
    <w:p w14:paraId="1FF3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Основные стилистические ошибки:</w:t>
      </w:r>
    </w:p>
    <w:p w14:paraId="78C1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а. </w:t>
      </w:r>
      <w:r>
        <w:rPr>
          <w:rFonts w:ascii="Times New Roman" w:hAnsi="Times New Roman"/>
          <w:sz w:val="24"/>
          <w:lang w:val="ru-RU" w:eastAsia="zh-CN"/>
        </w:rPr>
        <w:t>Избыточное использование маркеров</w:t>
      </w:r>
      <w:r>
        <w:rPr>
          <w:rFonts w:ascii="Times New Roman" w:hAnsi="Times New Roman"/>
          <w:sz w:val="24"/>
          <w:lang w:val="ru-RU"/>
        </w:rPr>
        <w:t>: Полное избегание «голых» форм (</w:t>
      </w:r>
      <w:r>
        <w:rPr>
          <w:rFonts w:ascii="Times New Roman" w:hAnsi="Times New Roman"/>
          <w:i/>
          <w:iCs/>
          <w:sz w:val="24"/>
          <w:lang w:val="ru-RU"/>
        </w:rPr>
        <w:t>Дай что-нибудь попить</w:t>
      </w:r>
      <w:r>
        <w:rPr>
          <w:rFonts w:ascii="Times New Roman" w:hAnsi="Times New Roman"/>
          <w:sz w:val="24"/>
          <w:lang w:val="ru-RU"/>
        </w:rPr>
        <w:t>), приводящее к избыточно книжной, «тяжёлой» речи.</w:t>
      </w:r>
    </w:p>
    <w:p w14:paraId="0914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б. Неподобающая разговорность: Внедрение немаркированных форм в официальные дискурсы («</w:t>
      </w:r>
      <w:r>
        <w:rPr>
          <w:rFonts w:ascii="Times New Roman" w:hAnsi="Times New Roman"/>
          <w:i/>
          <w:iCs/>
          <w:sz w:val="24"/>
          <w:lang w:val="ru-RU"/>
        </w:rPr>
        <w:t>Если кто спросит...</w:t>
      </w:r>
      <w:r>
        <w:rPr>
          <w:rFonts w:ascii="Times New Roman" w:hAnsi="Times New Roman"/>
          <w:sz w:val="24"/>
          <w:lang w:val="ru-RU"/>
        </w:rPr>
        <w:t>» в деловой переписке вместо «</w:t>
      </w:r>
      <w:r>
        <w:rPr>
          <w:rFonts w:ascii="Times New Roman" w:hAnsi="Times New Roman"/>
          <w:i/>
          <w:iCs/>
          <w:sz w:val="24"/>
          <w:lang w:val="ru-RU"/>
        </w:rPr>
        <w:t>Если кто-либо...</w:t>
      </w:r>
      <w:r>
        <w:rPr>
          <w:rFonts w:ascii="Times New Roman" w:hAnsi="Times New Roman"/>
          <w:sz w:val="24"/>
          <w:lang w:val="ru-RU"/>
        </w:rPr>
        <w:t>»).</w:t>
      </w:r>
    </w:p>
    <w:p w14:paraId="614B7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в. </w:t>
      </w:r>
      <w:r>
        <w:rPr>
          <w:rFonts w:ascii="Times New Roman" w:hAnsi="Times New Roman"/>
          <w:sz w:val="24"/>
          <w:lang w:val="ru-RU" w:eastAsia="zh-CN"/>
        </w:rPr>
        <w:t>Ошибочное отождествление кратких форм с пропуском слов</w:t>
      </w:r>
      <w:r>
        <w:rPr>
          <w:rFonts w:ascii="Times New Roman" w:hAnsi="Times New Roman"/>
          <w:sz w:val="24"/>
          <w:lang w:val="ru-RU"/>
        </w:rPr>
        <w:t>: </w:t>
      </w:r>
      <w:r>
        <w:rPr>
          <w:rFonts w:ascii="Times New Roman" w:hAnsi="Times New Roman"/>
          <w:sz w:val="24"/>
          <w:lang w:val="ru-RU" w:eastAsia="zh-CN"/>
        </w:rPr>
        <w:t>учащиеся часто воспринимают немаркированные местоимения как результат случайного сокращения полной формы (</w:t>
      </w:r>
      <w:r>
        <w:rPr>
          <w:rFonts w:hint="default" w:ascii="Times New Roman" w:hAnsi="Times New Roman"/>
          <w:i/>
          <w:iCs/>
          <w:sz w:val="24"/>
          <w:lang w:val="ru-RU" w:eastAsia="zh-CN"/>
        </w:rPr>
        <w:t>Дай [что-то] попить</w:t>
      </w:r>
      <w:r>
        <w:rPr>
          <w:rFonts w:hint="default" w:ascii="Times New Roman" w:hAnsi="Times New Roman"/>
          <w:sz w:val="24"/>
          <w:lang w:val="ru-RU" w:eastAsia="zh-CN"/>
        </w:rPr>
        <w:t>). Это мешает им понять, что перед ними — устойчивая языковая модель, а не «сломанная» или упрощенная грамматика.</w:t>
      </w:r>
      <w:r>
        <w:rPr>
          <w:rFonts w:ascii="Times New Roman" w:hAnsi="Times New Roman"/>
          <w:sz w:val="24"/>
          <w:lang w:val="ru-RU" w:eastAsia="zh-CN"/>
        </w:rPr>
        <w:t xml:space="preserve"> </w:t>
      </w:r>
    </w:p>
    <w:p w14:paraId="57041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 w:eastAsia="zh-CN"/>
        </w:rPr>
        <w:t xml:space="preserve">Преодоление внешней синтаксической и семантической интерференции: работа с амальгамами и квазирелятивами </w:t>
      </w:r>
    </w:p>
    <w:p w14:paraId="2FFB1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hint="default" w:ascii="Times New Roman" w:hAnsi="Times New Roman"/>
          <w:sz w:val="24"/>
          <w:lang w:val="ru-RU" w:eastAsia="zh-CN"/>
        </w:rPr>
      </w:pPr>
      <w:r>
        <w:rPr>
          <w:rFonts w:hint="default" w:ascii="Times New Roman" w:hAnsi="Times New Roman"/>
          <w:sz w:val="24"/>
          <w:lang w:val="ru-RU" w:eastAsia="zh-CN"/>
        </w:rPr>
        <w:t>Особую категорию трудностей представляют устойчивые сочетания типа </w:t>
      </w:r>
      <w:r>
        <w:rPr>
          <w:rFonts w:hint="default" w:ascii="Times New Roman" w:hAnsi="Times New Roman"/>
          <w:i/>
          <w:iCs/>
          <w:sz w:val="24"/>
          <w:lang w:val="ru-RU" w:eastAsia="zh-CN"/>
        </w:rPr>
        <w:t>неизвестно кто, бог весть что</w:t>
      </w:r>
      <w:r>
        <w:rPr>
          <w:rFonts w:hint="default" w:ascii="Times New Roman" w:hAnsi="Times New Roman"/>
          <w:sz w:val="24"/>
          <w:lang w:val="ru-RU" w:eastAsia="zh-CN"/>
        </w:rPr>
        <w:t> (амальгамы) и </w:t>
      </w:r>
      <w:r>
        <w:rPr>
          <w:rFonts w:hint="default" w:ascii="Times New Roman" w:hAnsi="Times New Roman"/>
          <w:i/>
          <w:iCs/>
          <w:sz w:val="24"/>
          <w:lang w:val="ru-RU" w:eastAsia="zh-CN"/>
        </w:rPr>
        <w:t>кто попало, что угодно</w:t>
      </w:r>
      <w:r>
        <w:rPr>
          <w:rFonts w:hint="default" w:ascii="Times New Roman" w:hAnsi="Times New Roman"/>
          <w:sz w:val="24"/>
          <w:lang w:val="ru-RU" w:eastAsia="zh-CN"/>
        </w:rPr>
        <w:t> (квазирелятивы), которые функционируют в языке как сложные эквиваленты неопределенных местоимений. Преодоление внешней интерференции (влияния родного языка) в данном сегменте требует работы над следующими аспектами:</w:t>
      </w:r>
    </w:p>
    <w:p w14:paraId="79BD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</w:t>
      </w:r>
      <w:r>
        <w:rPr>
          <w:rFonts w:hint="default"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>Восприятие фразы как единого целого:</w:t>
      </w:r>
      <w:r>
        <w:rPr>
          <w:rFonts w:hint="default" w:ascii="Times New Roman" w:hAnsi="Times New Roman"/>
          <w:sz w:val="24"/>
          <w:lang w:val="ru-RU"/>
        </w:rPr>
        <w:t> Из-за особенностей своего родного языка (например, английского </w:t>
      </w:r>
      <w:r>
        <w:rPr>
          <w:rFonts w:hint="default" w:ascii="Times New Roman" w:hAnsi="Times New Roman"/>
          <w:i/>
          <w:iCs/>
          <w:sz w:val="24"/>
          <w:lang w:val="ru-RU"/>
        </w:rPr>
        <w:t>God knows who</w:t>
      </w:r>
      <w:r>
        <w:rPr>
          <w:rFonts w:hint="default" w:ascii="Times New Roman" w:hAnsi="Times New Roman"/>
          <w:sz w:val="24"/>
          <w:lang w:val="ru-RU"/>
        </w:rPr>
        <w:t>) учащиеся часто видят в этих выражениях не одно слово, а цепочку из нескольких свободных слов. Это приводит к поломке структуры: студенты пытаются изменять отдельные части («</w:t>
      </w:r>
      <w:r>
        <w:rPr>
          <w:rFonts w:hint="default" w:ascii="Times New Roman" w:hAnsi="Times New Roman"/>
          <w:i/>
          <w:iCs/>
          <w:sz w:val="24"/>
          <w:lang w:val="ru-RU"/>
        </w:rPr>
        <w:t>неизвестно кого-то</w:t>
      </w:r>
      <w:r>
        <w:rPr>
          <w:rFonts w:hint="default" w:ascii="Times New Roman" w:hAnsi="Times New Roman"/>
          <w:sz w:val="24"/>
          <w:lang w:val="ru-RU"/>
        </w:rPr>
        <w:t>» вместо «</w:t>
      </w:r>
      <w:r>
        <w:rPr>
          <w:rFonts w:hint="default" w:ascii="Times New Roman" w:hAnsi="Times New Roman"/>
          <w:i/>
          <w:iCs/>
          <w:sz w:val="24"/>
          <w:lang w:val="ru-RU"/>
        </w:rPr>
        <w:t>неизвестно кого</w:t>
      </w:r>
      <w:r>
        <w:rPr>
          <w:rFonts w:hint="default" w:ascii="Times New Roman" w:hAnsi="Times New Roman"/>
          <w:sz w:val="24"/>
          <w:lang w:val="ru-RU"/>
        </w:rPr>
        <w:t>») или менять слова местами (</w:t>
      </w:r>
      <w:r>
        <w:rPr>
          <w:rFonts w:hint="default" w:ascii="Times New Roman" w:hAnsi="Times New Roman"/>
          <w:i/>
          <w:iCs/>
          <w:sz w:val="24"/>
          <w:lang w:val="ru-RU"/>
        </w:rPr>
        <w:t>кто неизвестно</w:t>
      </w:r>
      <w:r>
        <w:rPr>
          <w:rFonts w:hint="default" w:ascii="Times New Roman" w:hAnsi="Times New Roman"/>
          <w:sz w:val="24"/>
          <w:lang w:val="ru-RU"/>
        </w:rPr>
        <w:t>).</w:t>
      </w:r>
    </w:p>
    <w:p w14:paraId="506D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hint="default" w:ascii="Times New Roman" w:hAnsi="Times New Roman"/>
          <w:sz w:val="24"/>
          <w:lang w:val="ru-RU"/>
        </w:rPr>
        <w:t>б. Место предлога в предложении: Самая частая ошибка связана с тем, куда ставить предлог. В обычных русских местоимениях предлог ставится внутрь (</w:t>
      </w:r>
      <w:r>
        <w:rPr>
          <w:rFonts w:hint="default" w:ascii="Times New Roman" w:hAnsi="Times New Roman"/>
          <w:i/>
          <w:iCs/>
          <w:sz w:val="24"/>
          <w:lang w:val="ru-RU"/>
        </w:rPr>
        <w:t>с кем-то, у кого-нибудь</w:t>
      </w:r>
      <w:r>
        <w:rPr>
          <w:rFonts w:hint="default" w:ascii="Times New Roman" w:hAnsi="Times New Roman"/>
          <w:sz w:val="24"/>
          <w:lang w:val="ru-RU"/>
        </w:rPr>
        <w:t>). Учащиеся по привычке пытаются сделать то же самое с устойчивыми фразами, говоря «</w:t>
      </w:r>
      <w:r>
        <w:rPr>
          <w:rFonts w:hint="default" w:ascii="Times New Roman" w:hAnsi="Times New Roman"/>
          <w:i/>
          <w:iCs/>
          <w:sz w:val="24"/>
          <w:lang w:val="ru-RU"/>
        </w:rPr>
        <w:t>кто с попало</w:t>
      </w:r>
      <w:r>
        <w:rPr>
          <w:rFonts w:hint="default" w:ascii="Times New Roman" w:hAnsi="Times New Roman"/>
          <w:sz w:val="24"/>
          <w:lang w:val="ru-RU"/>
        </w:rPr>
        <w:t>». Важно научить студентов, что в таких выражениях, как </w:t>
      </w:r>
      <w:r>
        <w:rPr>
          <w:rFonts w:hint="default" w:ascii="Times New Roman" w:hAnsi="Times New Roman"/>
          <w:i/>
          <w:iCs/>
          <w:sz w:val="24"/>
          <w:lang w:val="ru-RU"/>
        </w:rPr>
        <w:t>кто попало</w:t>
      </w:r>
      <w:r>
        <w:rPr>
          <w:rFonts w:hint="default" w:ascii="Times New Roman" w:hAnsi="Times New Roman"/>
          <w:sz w:val="24"/>
          <w:lang w:val="ru-RU"/>
        </w:rPr>
        <w:t> или </w:t>
      </w:r>
      <w:r>
        <w:rPr>
          <w:rFonts w:hint="default" w:ascii="Times New Roman" w:hAnsi="Times New Roman"/>
          <w:i/>
          <w:iCs/>
          <w:sz w:val="24"/>
          <w:lang w:val="ru-RU"/>
        </w:rPr>
        <w:t>бог знает кто</w:t>
      </w:r>
      <w:r>
        <w:rPr>
          <w:rFonts w:hint="default" w:ascii="Times New Roman" w:hAnsi="Times New Roman"/>
          <w:sz w:val="24"/>
          <w:lang w:val="ru-RU"/>
        </w:rPr>
        <w:t>, предлог всегда должен стоять перед всей фразой (</w:t>
      </w:r>
      <w:r>
        <w:rPr>
          <w:rFonts w:hint="default" w:ascii="Times New Roman" w:hAnsi="Times New Roman"/>
          <w:i/>
          <w:iCs/>
          <w:sz w:val="24"/>
          <w:lang w:val="ru-RU"/>
        </w:rPr>
        <w:t>с кем попало, у бог знает кого</w:t>
      </w:r>
      <w:r>
        <w:rPr>
          <w:rFonts w:hint="default" w:ascii="Times New Roman" w:hAnsi="Times New Roman"/>
          <w:sz w:val="24"/>
          <w:lang w:val="ru-RU"/>
        </w:rPr>
        <w:t>).</w:t>
      </w:r>
    </w:p>
    <w:p w14:paraId="07AB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hint="default" w:ascii="Times New Roman" w:hAnsi="Times New Roman"/>
          <w:sz w:val="24"/>
          <w:lang w:val="ru-RU" w:eastAsia="zh-CN"/>
        </w:rPr>
      </w:pPr>
      <w:r>
        <w:rPr>
          <w:rFonts w:hint="default" w:ascii="Times New Roman" w:hAnsi="Times New Roman"/>
          <w:sz w:val="24"/>
          <w:lang w:val="ru-RU"/>
        </w:rPr>
        <w:t>в. Различение смысла «незнание» и «выбор»: </w:t>
      </w:r>
      <w:r>
        <w:rPr>
          <w:rFonts w:hint="default" w:ascii="Times New Roman" w:hAnsi="Times New Roman"/>
          <w:sz w:val="24"/>
          <w:lang w:val="ru-RU" w:eastAsia="zh-CN"/>
        </w:rPr>
        <w:t xml:space="preserve">из-за влияния родного языка (например, англ. anyone) учащиеся не разграничивают полную неосведомленность (неизвестно кто) и случайный выбор (кто попало). Это ведет к прагматическим ошибкам, когда вместо нейтрального сообщения о незнакомце возникает неуместный оттенок пренебрежения или грубости. </w:t>
      </w:r>
    </w:p>
    <w:p w14:paraId="6C34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709" w:firstLineChars="0"/>
        <w:textAlignment w:val="auto"/>
        <w:rPr>
          <w:rFonts w:hint="default" w:ascii="Times New Roman" w:hAnsi="Times New Roman"/>
          <w:sz w:val="24"/>
          <w:lang w:val="ru-RU" w:eastAsia="zh-CN"/>
        </w:rPr>
      </w:pPr>
    </w:p>
    <w:p w14:paraId="1B1C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09" w:firstLineChars="0"/>
        <w:textAlignment w:val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 w14:paraId="186C4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09" w:firstLineChars="0"/>
        <w:textAlignment w:val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Кустова Г. И. Прагматические факторы в редуцированных конструкциях: квазирелятивы типа что хочешь / Г. И. Кустова // Вестник Новосибирского государственного педагогического университета. – 2015. – № 5(27). – С. 122-133. DOI 10.15293/2226- 3365.1505.11. </w:t>
      </w:r>
      <w:bookmarkStart w:id="0" w:name="_GoBack"/>
      <w:bookmarkEnd w:id="0"/>
    </w:p>
    <w:p w14:paraId="48A0F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09" w:firstLineChars="0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Третьякова О. Д. Функции неопределенных местоимений без показателя неопределенности (на материале славянских языков) // Вестник Московского университета. Серия 9. Филология. – 2009б. – №1. – C. 134-147. </w:t>
      </w:r>
    </w:p>
    <w:p w14:paraId="51BF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10E29"/>
    <w:multiLevelType w:val="singleLevel"/>
    <w:tmpl w:val="75010E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66A5D"/>
    <w:rsid w:val="6AB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2026-03-02T18:21:00Z</dcterms:created>
  <dc:creator>莱莉娅</dc:creator>
  <cp:lastModifiedBy>Светлана</cp:lastModifiedBy>
  <dcterms:modified xsi:type="dcterms:W3CDTF">2026-03-02T18:22:45Z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eyJoZGlkIjoiNGJjYTg2NjdhYmY3MTBhMmZiNDk0NWFkM2RkM2VmMGMiLCJ1c2VySWQiOiIyMzQyNTMzNjgifQ==</vt:lpwstr>
  </property>
  <property fmtid="{D5CDD505-2E9C-101B-9397-08002B2CF9AE}" pid="4" name="ICV">
    <vt:lpwstr>CBDA0BCF4A1B45BD93AAB3417A1FF5E1_12</vt:lpwstr>
  </property>
</Properties>
</file>