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7F7C" w14:textId="77777777" w:rsidR="00017AC5" w:rsidRDefault="00017AC5" w:rsidP="00017A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23342397"/>
      <w:r w:rsidRPr="00017AC5">
        <w:rPr>
          <w:rFonts w:ascii="Times New Roman" w:hAnsi="Times New Roman" w:cs="Times New Roman"/>
          <w:b/>
          <w:bCs/>
        </w:rPr>
        <w:t xml:space="preserve">Экономическая трансформация «Большого евразийского партнерства» в условиях долгосрочных санкций и формирования многополярного мирового порядка </w:t>
      </w:r>
    </w:p>
    <w:bookmarkEnd w:id="0"/>
    <w:p w14:paraId="43DB2E2A" w14:textId="509D8C3A" w:rsidR="00017AC5" w:rsidRPr="00017AC5" w:rsidRDefault="00017AC5" w:rsidP="00017AC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17AC5">
        <w:rPr>
          <w:rFonts w:ascii="Times New Roman" w:hAnsi="Times New Roman" w:cs="Times New Roman"/>
          <w:b/>
          <w:bCs/>
        </w:rPr>
        <w:t>(2025</w:t>
      </w:r>
      <w:r>
        <w:rPr>
          <w:rFonts w:ascii="Times New Roman" w:hAnsi="Times New Roman" w:cs="Times New Roman" w:hint="eastAsia"/>
          <w:b/>
          <w:bCs/>
        </w:rPr>
        <w:t>-</w:t>
      </w:r>
      <w:r w:rsidRPr="00017AC5">
        <w:rPr>
          <w:rFonts w:ascii="Times New Roman" w:hAnsi="Times New Roman" w:cs="Times New Roman"/>
          <w:b/>
          <w:bCs/>
        </w:rPr>
        <w:t>2026)</w:t>
      </w:r>
    </w:p>
    <w:p w14:paraId="10A33244" w14:textId="6CDCD7E9" w:rsidR="00EE2B8B" w:rsidRDefault="00017AC5" w:rsidP="00EE2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Хэ</w:t>
      </w:r>
      <w:r w:rsidR="00EE2B8B" w:rsidRPr="00EE2B8B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Яфу</w:t>
      </w:r>
    </w:p>
    <w:p w14:paraId="4B064436" w14:textId="77777777" w:rsidR="00EE2B8B" w:rsidRPr="00EE2B8B" w:rsidRDefault="00EE2B8B" w:rsidP="00EE2B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E2B8B">
        <w:rPr>
          <w:rFonts w:ascii="Times New Roman" w:hAnsi="Times New Roman" w:cs="Times New Roman"/>
          <w:b/>
          <w:bCs/>
          <w:i/>
          <w:iCs/>
        </w:rPr>
        <w:t xml:space="preserve">Аспирант </w:t>
      </w:r>
    </w:p>
    <w:p w14:paraId="4A73B68A" w14:textId="77777777" w:rsidR="00EE2B8B" w:rsidRPr="00EE2B8B" w:rsidRDefault="00EE2B8B" w:rsidP="00EE2B8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E2B8B">
        <w:rPr>
          <w:rFonts w:ascii="Times New Roman" w:hAnsi="Times New Roman" w:cs="Times New Roman"/>
          <w:i/>
          <w:iCs/>
        </w:rPr>
        <w:t>Московский государственный университет имени М.В.Ломоносова, </w:t>
      </w:r>
    </w:p>
    <w:p w14:paraId="542EADB0" w14:textId="4C4C5F4D" w:rsidR="00EE2B8B" w:rsidRPr="00B203CA" w:rsidRDefault="00EE2B8B" w:rsidP="00EE2B8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B203CA">
        <w:rPr>
          <w:rFonts w:ascii="Times New Roman" w:hAnsi="Times New Roman" w:cs="Times New Roman"/>
          <w:i/>
          <w:iCs/>
        </w:rPr>
        <w:t>Высшая школа культурной политики и управления в гуманитарной сфере (факультет), Москва, Россия</w:t>
      </w:r>
    </w:p>
    <w:p w14:paraId="46F73D3B" w14:textId="74826849" w:rsidR="00EE2B8B" w:rsidRPr="007A4F19" w:rsidRDefault="00EE2B8B" w:rsidP="00EE2B8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B203CA">
        <w:rPr>
          <w:rFonts w:ascii="Times New Roman" w:hAnsi="Times New Roman" w:cs="Times New Roman"/>
          <w:i/>
          <w:iCs/>
          <w:lang w:val="en-US"/>
        </w:rPr>
        <w:t>E</w:t>
      </w:r>
      <w:r w:rsidRPr="007A4F19">
        <w:rPr>
          <w:rFonts w:ascii="Times New Roman" w:hAnsi="Times New Roman" w:cs="Times New Roman"/>
          <w:i/>
          <w:iCs/>
        </w:rPr>
        <w:t>-</w:t>
      </w:r>
      <w:r w:rsidRPr="00B203CA">
        <w:rPr>
          <w:rFonts w:ascii="Times New Roman" w:hAnsi="Times New Roman" w:cs="Times New Roman"/>
          <w:i/>
          <w:iCs/>
          <w:lang w:val="en-US"/>
        </w:rPr>
        <w:t>mail</w:t>
      </w:r>
      <w:r w:rsidRPr="007A4F19">
        <w:rPr>
          <w:rFonts w:ascii="Times New Roman" w:hAnsi="Times New Roman" w:cs="Times New Roman"/>
          <w:i/>
          <w:iCs/>
        </w:rPr>
        <w:t xml:space="preserve">: </w:t>
      </w:r>
      <w:r w:rsidR="00B203CA" w:rsidRPr="00B203CA">
        <w:rPr>
          <w:rFonts w:ascii="Times New Roman" w:hAnsi="Times New Roman" w:cs="Times New Roman"/>
          <w:i/>
          <w:iCs/>
          <w:lang w:val="en-US"/>
        </w:rPr>
        <w:t>Heakov</w:t>
      </w:r>
      <w:r w:rsidR="00B203CA" w:rsidRPr="007A4F19">
        <w:rPr>
          <w:rFonts w:ascii="Times New Roman" w:hAnsi="Times New Roman" w:cs="Times New Roman"/>
          <w:i/>
          <w:iCs/>
        </w:rPr>
        <w:t>915@</w:t>
      </w:r>
      <w:r w:rsidR="00B203CA" w:rsidRPr="00B203CA">
        <w:rPr>
          <w:rFonts w:ascii="Times New Roman" w:hAnsi="Times New Roman" w:cs="Times New Roman"/>
          <w:i/>
          <w:iCs/>
          <w:lang w:val="en-US"/>
        </w:rPr>
        <w:t>gmail</w:t>
      </w:r>
      <w:r w:rsidR="00B203CA" w:rsidRPr="007A4F19">
        <w:rPr>
          <w:rFonts w:ascii="Times New Roman" w:hAnsi="Times New Roman" w:cs="Times New Roman"/>
          <w:i/>
          <w:iCs/>
        </w:rPr>
        <w:t>.</w:t>
      </w:r>
      <w:r w:rsidR="00B203CA" w:rsidRPr="00B203CA">
        <w:rPr>
          <w:rFonts w:ascii="Times New Roman" w:hAnsi="Times New Roman" w:cs="Times New Roman"/>
          <w:i/>
          <w:iCs/>
          <w:lang w:val="en-US"/>
        </w:rPr>
        <w:t>com</w:t>
      </w:r>
    </w:p>
    <w:p w14:paraId="67472EA9" w14:textId="21E4507A" w:rsidR="00752CC5" w:rsidRPr="00752CC5" w:rsidRDefault="00752CC5" w:rsidP="00752CC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C31EB">
        <w:rPr>
          <w:rFonts w:ascii="Times New Roman" w:hAnsi="Times New Roman" w:cs="Times New Roman"/>
          <w:b/>
          <w:bCs/>
        </w:rPr>
        <w:t>Аннотация:</w:t>
      </w:r>
      <w:r>
        <w:rPr>
          <w:rFonts w:ascii="Times New Roman" w:hAnsi="Times New Roman" w:cs="Times New Roman"/>
        </w:rPr>
        <w:t xml:space="preserve"> </w:t>
      </w:r>
      <w:r w:rsidR="00017AC5">
        <w:rPr>
          <w:rFonts w:ascii="Times New Roman" w:hAnsi="Times New Roman" w:cs="Times New Roman"/>
        </w:rPr>
        <w:t>в</w:t>
      </w:r>
      <w:r w:rsidR="00017AC5" w:rsidRPr="00017AC5">
        <w:rPr>
          <w:rFonts w:ascii="Times New Roman" w:hAnsi="Times New Roman" w:cs="Times New Roman"/>
        </w:rPr>
        <w:t xml:space="preserve"> современных условиях, характеризующихся долгосрочными западными санкциями, технологической декупляцией и ускоренным формированием многополярной системы международных отношений, концепция «Большого евразийского партнерства» (БЕП) претерпела кардинальную трансформацию: из геополитической инициативы она превратилась в ядро стратегии экономического суверенитета России. В статье анализируются механизмы адаптации БЕП к новой реальности, особенности формирования независимой финансовой системы на основе дедолларизации и развития альтернативных платежных инфраструктур, а также процессы построения региональных цепочек поставок в рамках интеграционных объединений Евразийского экономического союза (ЕЭС), Шанхайской организации сотрудничества (ШОС) и расширенного БРИКС. Показано, что в 2025</w:t>
      </w:r>
      <w:r w:rsidR="00B203CA">
        <w:rPr>
          <w:rFonts w:ascii="Times New Roman" w:hAnsi="Times New Roman" w:cs="Times New Roman"/>
        </w:rPr>
        <w:t>-</w:t>
      </w:r>
      <w:r w:rsidR="00017AC5" w:rsidRPr="00017AC5">
        <w:rPr>
          <w:rFonts w:ascii="Times New Roman" w:hAnsi="Times New Roman" w:cs="Times New Roman"/>
        </w:rPr>
        <w:t>2026 годах ключевыми направлениями развития БЕП стали институционализация сотрудничества, технологическое замещение и формирование замкнутого экономического контура, независимого от западных институтов. Исследование основано на анализе официальных документов, статистических данных и современных научных подходов к изучению евразийской интеграции.</w:t>
      </w:r>
    </w:p>
    <w:p w14:paraId="1C7D66FD" w14:textId="59B27915" w:rsidR="00752CC5" w:rsidRDefault="00752CC5" w:rsidP="00752CC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1C31EB">
        <w:rPr>
          <w:rFonts w:ascii="Times New Roman" w:hAnsi="Times New Roman" w:cs="Times New Roman"/>
          <w:b/>
          <w:bCs/>
        </w:rPr>
        <w:t>Ключевые слова:</w:t>
      </w:r>
      <w:r w:rsidRPr="00752CC5">
        <w:rPr>
          <w:rFonts w:ascii="Times New Roman" w:hAnsi="Times New Roman" w:cs="Times New Roman"/>
        </w:rPr>
        <w:t xml:space="preserve"> </w:t>
      </w:r>
      <w:r w:rsidR="00017AC5" w:rsidRPr="00017AC5">
        <w:rPr>
          <w:rFonts w:ascii="Times New Roman" w:hAnsi="Times New Roman" w:cs="Times New Roman"/>
        </w:rPr>
        <w:t>Большое евразийское партнерство; долгосрочные санкции; экономический суверенитет; дедолларизация; BRICS Pay; цепочки поставок; многополярный мир</w:t>
      </w:r>
      <w:r w:rsidR="00017AC5">
        <w:rPr>
          <w:rFonts w:ascii="Times New Roman" w:hAnsi="Times New Roman" w:cs="Times New Roman"/>
        </w:rPr>
        <w:t>.</w:t>
      </w:r>
    </w:p>
    <w:p w14:paraId="23460E42" w14:textId="0C969BB8" w:rsidR="00017AC5" w:rsidRPr="00017AC5" w:rsidRDefault="00017AC5" w:rsidP="00B203C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С 2022 года западные санкции перестали быть краткосрочным инструментом давления и превратились в долгосрочную стратегию экономической изоляции России. К 2026 году сформировались три ключевые характеристики санкционного режима, определяющие повестку развития БЕП. Санкции институционализировались и расширились за счет вторичных ограничений, направленных на ограничение сотрудничества России с третьими странами. Это включает блокировку международных активов, исключение из системы SWIFT, эмбарго на импорт высокотехнологичной продукции и ограничения на транспортные маршруты.</w:t>
      </w:r>
      <w:r w:rsidR="00B203CA"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>Технологическая декупляция также стала заметной чертой санкционного режима. Запад полностью закрыл доступ России к передовым технологиям в сферах микроэлектроники, прецизионного машиностроения и цифровизации, что поставило перед страной задачу форсированного импортозамещения. В результате мировая экономика раскололась на два блока: западный, ориентированный на сохранение долларовой гегемонии, и не-западный, представленный странами «глобального Юга», заинтересованными в формировании многополярного порядка. В этом блоке Россия нашла основу для реализации концепции БЕП.</w:t>
      </w:r>
      <w:r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>В этих условиях БЕП перестало быть альтернативой западной интеграции и стало необходимостью построения собственной экономической реальности, основанной на суверенитете, взаимовыгодном сотрудничестве и независимости от западных институтов.</w:t>
      </w:r>
    </w:p>
    <w:p w14:paraId="4AB804C8" w14:textId="77777777" w:rsidR="00B203CA" w:rsidRDefault="00017AC5" w:rsidP="00B203C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В 2025</w:t>
      </w:r>
      <w:r>
        <w:rPr>
          <w:rFonts w:ascii="Times New Roman" w:hAnsi="Times New Roman" w:cs="Times New Roman"/>
        </w:rPr>
        <w:t>-</w:t>
      </w:r>
      <w:r w:rsidRPr="00017AC5">
        <w:rPr>
          <w:rFonts w:ascii="Times New Roman" w:hAnsi="Times New Roman" w:cs="Times New Roman"/>
        </w:rPr>
        <w:t>2026 годах «Большое евразийское партнерство» завершило трансформацию из геополитической инициативы в комплексную стратегию экономического суверенитета России. Основой этой трансформации стал переход от реактивных мер адаптации к санкциям к активному построению новой интеграционной архитектуры Евразии. Россия осуществила окончательную переориентацию внешнеэкономических связей с Запада на Восток и Юг: доля торговли со странами БРИКС и ШОС в общем товарообороте России превысила 60%, а основные потоки энергоэкспорта направлены на азиатские рынки.</w:t>
      </w:r>
      <w:r w:rsidR="00B203CA"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 xml:space="preserve">БЕП </w:t>
      </w:r>
      <w:r w:rsidRPr="00017AC5">
        <w:rPr>
          <w:rFonts w:ascii="Times New Roman" w:hAnsi="Times New Roman" w:cs="Times New Roman"/>
        </w:rPr>
        <w:lastRenderedPageBreak/>
        <w:t>стало многоуровневой интеграционной структурой, объединяющей три платформы: Евразийский экономический союз как ядро, Шанхайскую организацию сотрудничества как региональный блок и расширенный БРИКС как глобальный каркас. Такая структура позволяет последовательно выстраивать экономическое пространство, независимое от Запада. Приоритетом сотрудничества стало технологическое замещение: Россия и страны-партнеры развивают совместные проекты в области аэрокосмики, ядерной энергетики, сельского хозяйства и цифровизации, формируя собственные стандарты и преодолевая зависимость от западных технологий.</w:t>
      </w:r>
      <w:r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 xml:space="preserve">БЕП </w:t>
      </w:r>
      <w:r>
        <w:rPr>
          <w:rFonts w:ascii="Times New Roman" w:hAnsi="Times New Roman" w:cs="Times New Roman"/>
        </w:rPr>
        <w:t xml:space="preserve">также </w:t>
      </w:r>
      <w:r w:rsidRPr="00017AC5">
        <w:rPr>
          <w:rFonts w:ascii="Times New Roman" w:hAnsi="Times New Roman" w:cs="Times New Roman"/>
        </w:rPr>
        <w:t xml:space="preserve">стало основой для формирования новой финансовой системы, основанной на отказе от доллара в международных расчетах и развитии альтернативных платежных инфраструктур. </w:t>
      </w:r>
    </w:p>
    <w:p w14:paraId="200300AC" w14:textId="77777777" w:rsidR="00B203CA" w:rsidRDefault="00017AC5" w:rsidP="00B203C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К 2026 году дедолларизация перестала быть экспериментом и превратилась в системный институциональный процесс, определяющий финансовую основу «Большого евразийского партнерства». Доля национальных валютных расчетов в российско-китайской торговле превысила 95%, а в торговле с другими странами БРИКС</w:t>
      </w:r>
      <w:r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</w:rPr>
        <w:t>̶</w:t>
      </w:r>
      <w:r w:rsidRPr="00017A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>более 70%. Россия активно расширяет соглашения о валютных свопах с партнерами по БЕП, что обеспечивает стабильность взаимных расчетов. Ключевым событием стало полноценное запуск платежной системы BRICS Pay в 2025 году, которая объединила финансовые инфраструктуры России, Китая, Индии, ОАЭ, Ирана и других стран. Российская система СПФС была интегрирована с китайской CIPS, что создало глобальную не-западную платежную сеть, независимую от SWIFT.</w:t>
      </w:r>
      <w:r w:rsidR="00B203CA"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>Диверсификация валютных резервов Центрального банка РФ привела к снижению доли доллара ниже 10%, доминирующее место заняли золото, китайский юань и валюты дружественных стран. Эти меры позволили России снизить уязвимость к внешним финансовым шокам и заложить основу для формирования мультивалютной мировой финансовой системы.</w:t>
      </w:r>
    </w:p>
    <w:p w14:paraId="01F9BC37" w14:textId="09561F2C" w:rsidR="00017AC5" w:rsidRPr="00017AC5" w:rsidRDefault="00017AC5" w:rsidP="00B203C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>В условиях санкций Россия активно строит замкнутые региональные цепочки поставок, интегрируя ресурсы, производственные мощности и рынки стран «Большой Евразии». К 2026 году сформировались четыре ключевых элемента этой системы. Завершилось формирование энергетической цепочки Восток: Россия расширила поставки газа по трубопроводу «Сила Сибири», активно развивает строительство «Силы Сибири</w:t>
      </w:r>
      <w:r w:rsidR="007A4F19">
        <w:rPr>
          <w:rFonts w:ascii="Times New Roman" w:hAnsi="Times New Roman" w:cs="Times New Roman"/>
          <w:lang w:val="en-US"/>
        </w:rPr>
        <w:t>-</w:t>
      </w:r>
      <w:r w:rsidRPr="00017AC5">
        <w:rPr>
          <w:rFonts w:ascii="Times New Roman" w:hAnsi="Times New Roman" w:cs="Times New Roman"/>
        </w:rPr>
        <w:t>2» и увеличивает грузопоток по Северному морскому пути, обеспечивая стабильные поставки энергоресурсов в Китай, Индию и страны Юго-Восточной Азии.</w:t>
      </w:r>
      <w:r w:rsidR="00B203CA"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>Развивается промышленная кооперация: Россия и Китай расширили сотрудничество в автопроме, сельхозтехнике и электронике, страны Центральной Азии участвуют в формировании сырьевых и производственных цепочек, что позволяет снизить зависимость от западных поставщиков. Форсируется технологическое замещение: в России развивается производство отечественных микрочипов, промышленного программного обеспечения и прецизионного оборудования, а совместные инновационные проекты с партнерами по БЕП ускоряют процесс достижения технологического суверенитета. Сформировались стабильные транзитные узлы в лице Турции, ОАЭ и Ирана, через которые осуществляется параллельный импорт необходимой продукции, преодолевая западные эмбарго.</w:t>
      </w:r>
    </w:p>
    <w:p w14:paraId="2EDBF332" w14:textId="1DB590CD" w:rsidR="00017AC5" w:rsidRDefault="00017AC5" w:rsidP="00B203C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Несмотря на значительные успехи, развитие «Большого евразийского партнерства» в 2026 году сталкивается с рядом серьезных вызовов. Сохраняется дефицит передовых технологий в сфере микроэлектроники и прецизионного машиностроения, что замедляет процесс технологического суверенитета. Наблюдается несогласованность институциональных правил между ЕЭС, ШОС и БРИКС, что снижает эффективность взаимодействия и замедляет интеграционные процессы. Западные вторичные санкции ограничивают сотрудничество России с третьими странами, создавая барьеры для расширения БЕП. Неравномерность экономического развития стран-участниц требует создания специальных механизмов поддержки менее развитых государств региона.</w:t>
      </w:r>
      <w:r w:rsidR="00B203CA"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 xml:space="preserve">Перспективы развития БЕП связаны с дальнейшей институционализацией сотрудничества, расширением членства интеграционных объединений и углублением технологической кооперации. Успешная реализация этих направлений позволит БЕП стать одним из </w:t>
      </w:r>
      <w:r w:rsidRPr="00017AC5">
        <w:rPr>
          <w:rFonts w:ascii="Times New Roman" w:hAnsi="Times New Roman" w:cs="Times New Roman"/>
        </w:rPr>
        <w:lastRenderedPageBreak/>
        <w:t xml:space="preserve">ключевых столпов формирующегося многополярного мирового экономического порядка, а </w:t>
      </w:r>
      <w:r w:rsidR="00B203CA" w:rsidRPr="00017AC5">
        <w:rPr>
          <w:rFonts w:ascii="Times New Roman" w:hAnsi="Times New Roman" w:cs="Times New Roman"/>
        </w:rPr>
        <w:t>России</w:t>
      </w:r>
      <w:r w:rsidR="00B203CA">
        <w:rPr>
          <w:rFonts w:ascii="Times New Roman" w:hAnsi="Times New Roman" w:cs="Times New Roman"/>
        </w:rPr>
        <w:t xml:space="preserve">  </w:t>
      </w:r>
      <w:r w:rsidR="00B203CA" w:rsidRPr="00017AC5">
        <w:rPr>
          <w:rFonts w:ascii="Times New Roman" w:hAnsi="Times New Roman" w:cs="Times New Roman"/>
        </w:rPr>
        <w:t>̶</w:t>
      </w:r>
      <w:r w:rsidR="00B203CA">
        <w:rPr>
          <w:rFonts w:ascii="Calibri" w:hAnsi="Calibri" w:cs="Calibri"/>
        </w:rPr>
        <w:t xml:space="preserve">  </w:t>
      </w:r>
      <w:r w:rsidRPr="00017AC5">
        <w:rPr>
          <w:rFonts w:ascii="Times New Roman" w:hAnsi="Times New Roman" w:cs="Times New Roman"/>
        </w:rPr>
        <w:t>занять лидирующие позиции в архитектуре нового мира.</w:t>
      </w:r>
    </w:p>
    <w:p w14:paraId="7F340B41" w14:textId="67732A16" w:rsidR="00017AC5" w:rsidRPr="00752CC5" w:rsidRDefault="00017AC5" w:rsidP="00017AC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в</w:t>
      </w:r>
      <w:r w:rsidRPr="00017AC5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>-</w:t>
      </w:r>
      <w:r w:rsidRPr="00017AC5">
        <w:rPr>
          <w:rFonts w:ascii="Times New Roman" w:hAnsi="Times New Roman" w:cs="Times New Roman"/>
        </w:rPr>
        <w:t>2026 годах «Большое евразийское партнерство» претерпело кардинальную трансформацию, превратившись из геополитической концепции в реальную систему экономического суверенитета России. Долгосрочные западные санкции не сломили экономику страны, а стали катализатором формирования новой интеграционной архитектуры Евразии, основанной на дедолларизации, технологическом замещении и региональных цепочках поставок.</w:t>
      </w:r>
      <w:r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>Ключевыми достижениями стали формирование независимой финансовой системы на основе BRICS Pay и национальных валютных расчетов, переориентация энергоэкспорта на азиатские рынки и развитие промышленной кооперации с партнерами по БЕП. Несмотря на существующие вызовы, «Большое евразийское партнерство» демонстрирует высокую устойчивость и становится важнейшим фактором формирования многополярного мирового порядка.</w:t>
      </w:r>
      <w:r>
        <w:rPr>
          <w:rFonts w:ascii="Times New Roman" w:hAnsi="Times New Roman" w:cs="Times New Roman"/>
        </w:rPr>
        <w:t xml:space="preserve"> </w:t>
      </w:r>
      <w:r w:rsidRPr="00017AC5">
        <w:rPr>
          <w:rFonts w:ascii="Times New Roman" w:hAnsi="Times New Roman" w:cs="Times New Roman"/>
        </w:rPr>
        <w:t>Дальнейшее развитие БЕП будет связано с решением проблем технологического суверенитета, совершенствованием институционального взаимодействия и расширением географии сотрудничества, что позволит укрепить позиции России как центрального узла евразийской интеграции и одного из архитекторов нового мирового экономического порядка.</w:t>
      </w:r>
    </w:p>
    <w:p w14:paraId="3F96AB6C" w14:textId="72616614" w:rsidR="00EE2B8B" w:rsidRPr="00B40B1A" w:rsidRDefault="00B40B1A" w:rsidP="001C31EB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B40B1A">
        <w:rPr>
          <w:rFonts w:ascii="Times New Roman" w:hAnsi="Times New Roman" w:cs="Times New Roman"/>
          <w:b/>
          <w:bCs/>
        </w:rPr>
        <w:t>Литература</w:t>
      </w:r>
    </w:p>
    <w:p w14:paraId="2FD1B72A" w14:textId="77777777" w:rsidR="00017AC5" w:rsidRPr="00017AC5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Громов И.А. Дедолларизация как глобальный процесс: роль БРИКС и евразийской интеграции // Вестник МГУ. Серия 8. Экономика. 2026. № 1. С. 34</w:t>
      </w:r>
      <w:r>
        <w:rPr>
          <w:rFonts w:ascii="Times New Roman" w:hAnsi="Times New Roman" w:cs="Times New Roman"/>
        </w:rPr>
        <w:t>-</w:t>
      </w:r>
      <w:r w:rsidRPr="00017AC5">
        <w:rPr>
          <w:rFonts w:ascii="Times New Roman" w:hAnsi="Times New Roman" w:cs="Times New Roman"/>
        </w:rPr>
        <w:t>48.</w:t>
      </w:r>
    </w:p>
    <w:p w14:paraId="1B6CA485" w14:textId="77777777" w:rsidR="00017AC5" w:rsidRPr="00017AC5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Документы XV саммита БРИКС. Казань, 2025.</w:t>
      </w:r>
    </w:p>
    <w:p w14:paraId="31F04920" w14:textId="77777777" w:rsidR="00017AC5" w:rsidRPr="00017AC5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Евразийская экономическая комиссия. Отчет о развитии интеграционных процессов в Евразийском экономическом союзе за 2025 год. М., 2026.</w:t>
      </w:r>
    </w:p>
    <w:p w14:paraId="6A321D0D" w14:textId="77777777" w:rsidR="00017AC5" w:rsidRPr="00D17AC3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Каргинов М.М. Геоэкономика Евразии в условиях многополярности. СПб.: Издательство СПбГУ, 2026. 288 с.</w:t>
      </w:r>
    </w:p>
    <w:p w14:paraId="1F91600E" w14:textId="77777777" w:rsidR="00017AC5" w:rsidRPr="00017AC5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Лисавлов В.В. Большое евразийское партнерство: от концепции к институциональной реальности. М.: Издательство МГУ, 2025. 312 с.</w:t>
      </w:r>
    </w:p>
    <w:p w14:paraId="271EB4E1" w14:textId="77777777" w:rsidR="00017AC5" w:rsidRPr="00017AC5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Послание Президента РФ Федеральному Собранию 2025 года // Официальный сайт Кремля. 2025.</w:t>
      </w:r>
    </w:p>
    <w:p w14:paraId="600DF3A1" w14:textId="77777777" w:rsidR="00017AC5" w:rsidRPr="00017AC5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Синютин А.В. Экономическая безопасность России в условиях долгосрочных санкций. М.: Институт экономики РАН, 2025. 245 с.</w:t>
      </w:r>
    </w:p>
    <w:p w14:paraId="124843CE" w14:textId="77777777" w:rsidR="00017AC5" w:rsidRPr="00017AC5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Центральный банк РФ. Статистический бюллетень. М., 2026.</w:t>
      </w:r>
    </w:p>
    <w:p w14:paraId="795DE0EB" w14:textId="77777777" w:rsidR="00017AC5" w:rsidRPr="00017AC5" w:rsidRDefault="00017AC5" w:rsidP="00017AC5">
      <w:pPr>
        <w:pStyle w:val="a7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17AC5">
        <w:rPr>
          <w:rFonts w:ascii="Times New Roman" w:hAnsi="Times New Roman" w:cs="Times New Roman"/>
        </w:rPr>
        <w:t>Шанхайская организация сотрудничества. Годовой отчет о экономическом сотрудничестве. Пекин, 2026.</w:t>
      </w:r>
    </w:p>
    <w:sectPr w:rsidR="00017AC5" w:rsidRPr="00017AC5" w:rsidSect="00EE2B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66F57"/>
    <w:multiLevelType w:val="hybridMultilevel"/>
    <w:tmpl w:val="5ECC1A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E22340F"/>
    <w:multiLevelType w:val="hybridMultilevel"/>
    <w:tmpl w:val="C56EC48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8B"/>
    <w:rsid w:val="00017AC5"/>
    <w:rsid w:val="001C31EB"/>
    <w:rsid w:val="00217F4C"/>
    <w:rsid w:val="0036656E"/>
    <w:rsid w:val="003A0362"/>
    <w:rsid w:val="00752CC5"/>
    <w:rsid w:val="007A4F19"/>
    <w:rsid w:val="009E10CC"/>
    <w:rsid w:val="00B203CA"/>
    <w:rsid w:val="00B40B1A"/>
    <w:rsid w:val="00C35529"/>
    <w:rsid w:val="00D17AC3"/>
    <w:rsid w:val="00E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11DC"/>
  <w15:chartTrackingRefBased/>
  <w15:docId w15:val="{9393892F-678C-B84C-8951-808DD2DF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B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B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2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2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2B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2B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B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2B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2B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2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2B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2B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2B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2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2B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2B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E2B8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E2B8B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B40B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40B1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40B1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0B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40B1A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3A0362"/>
    <w:pPr>
      <w:spacing w:after="0" w:line="240" w:lineRule="auto"/>
    </w:pPr>
  </w:style>
  <w:style w:type="character" w:customStyle="1" w:styleId="qwen-markdown-text">
    <w:name w:val="qwen-markdown-text"/>
    <w:basedOn w:val="a0"/>
    <w:rsid w:val="003A0362"/>
  </w:style>
  <w:style w:type="character" w:styleId="af4">
    <w:name w:val="FollowedHyperlink"/>
    <w:basedOn w:val="a0"/>
    <w:uiPriority w:val="99"/>
    <w:semiHidden/>
    <w:unhideWhenUsed/>
    <w:rsid w:val="00217F4C"/>
    <w:rPr>
      <w:color w:val="954F72" w:themeColor="followedHyperlink"/>
      <w:u w:val="single"/>
    </w:rPr>
  </w:style>
  <w:style w:type="paragraph" w:customStyle="1" w:styleId="p1">
    <w:name w:val="p1"/>
    <w:basedOn w:val="a"/>
    <w:rsid w:val="00D17AC3"/>
    <w:pPr>
      <w:spacing w:after="0" w:line="240" w:lineRule="auto"/>
    </w:pPr>
    <w:rPr>
      <w:rFonts w:ascii="Times New Roman" w:eastAsia="Times New Roman" w:hAnsi="Times New Roman" w:cs="Times New Roman"/>
      <w:color w:val="141413"/>
      <w:kern w:val="0"/>
      <w:sz w:val="13"/>
      <w:szCs w:val="13"/>
      <w14:ligatures w14:val="none"/>
    </w:rPr>
  </w:style>
  <w:style w:type="character" w:customStyle="1" w:styleId="apple-converted-space">
    <w:name w:val="apple-converted-space"/>
    <w:basedOn w:val="a0"/>
    <w:rsid w:val="009E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C61E-1EB7-4C46-885E-7C442A14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Ганыч</dc:creator>
  <cp:keywords/>
  <dc:description/>
  <cp:lastModifiedBy>Ganych, Ulyana</cp:lastModifiedBy>
  <cp:revision>3</cp:revision>
  <dcterms:created xsi:type="dcterms:W3CDTF">2026-03-02T08:32:00Z</dcterms:created>
  <dcterms:modified xsi:type="dcterms:W3CDTF">2026-03-02T08:36:00Z</dcterms:modified>
</cp:coreProperties>
</file>