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FDCD" w14:textId="77777777" w:rsidR="00DB3401" w:rsidRDefault="00000000">
      <w:pPr>
        <w:rPr>
          <w:rFonts w:ascii="Times New Roman" w:eastAsia="Times New Roman" w:hAnsi="Times New Roman" w:cs="Times New Roman"/>
          <w:lang w:val="ru-RU"/>
        </w:rPr>
      </w:pPr>
      <w:r>
        <w:rPr>
          <w:rFonts w:ascii="Times New Roman" w:hAnsi="Times New Roman"/>
          <w:lang w:val="ru-RU"/>
        </w:rPr>
        <w:t>Конференция «Ломоносов-</w:t>
      </w:r>
      <w:r>
        <w:rPr>
          <w:rFonts w:ascii="Times New Roman" w:hAnsi="Times New Roman"/>
          <w:color w:val="auto"/>
          <w:lang w:val="ru-RU"/>
        </w:rPr>
        <w:t>2026</w:t>
      </w:r>
      <w:r>
        <w:rPr>
          <w:rFonts w:ascii="Times New Roman" w:hAnsi="Times New Roman"/>
          <w:lang w:val="ru-RU"/>
        </w:rPr>
        <w:t>»</w:t>
      </w:r>
    </w:p>
    <w:p w14:paraId="6BCBAB90" w14:textId="77777777" w:rsidR="00DB3401" w:rsidRDefault="00000000">
      <w:pPr>
        <w:rPr>
          <w:lang w:val="ru-RU"/>
        </w:rPr>
      </w:pPr>
      <w:r>
        <w:rPr>
          <w:lang w:val="ru-RU"/>
        </w:rPr>
        <w:t xml:space="preserve">        </w:t>
      </w:r>
    </w:p>
    <w:p w14:paraId="7F81AA85" w14:textId="77777777" w:rsidR="00DB3401" w:rsidRDefault="00000000">
      <w:pPr>
        <w:jc w:val="right"/>
        <w:rPr>
          <w:rFonts w:ascii="Times New Roman" w:eastAsia="Times New Roman" w:hAnsi="Times New Roman" w:cs="Times New Roman"/>
          <w:lang w:val="ru-RU"/>
        </w:rPr>
      </w:pPr>
      <w:r>
        <w:rPr>
          <w:lang w:val="ru-RU"/>
        </w:rPr>
        <w:t xml:space="preserve">                                              </w:t>
      </w:r>
      <w:r>
        <w:rPr>
          <w:rFonts w:ascii="Times New Roman" w:hAnsi="Times New Roman"/>
          <w:lang w:val="ru-RU"/>
        </w:rPr>
        <w:t>Секция «Историческое музыкознание»</w:t>
      </w:r>
    </w:p>
    <w:p w14:paraId="2C77B038" w14:textId="77777777" w:rsidR="00DB3401" w:rsidRPr="004373D6" w:rsidRDefault="00DB3401" w:rsidP="004373D6">
      <w:pPr>
        <w:ind w:firstLine="709"/>
        <w:rPr>
          <w:rFonts w:ascii="Times New Roman" w:eastAsia="Times New Roman" w:hAnsi="Times New Roman" w:cs="Times New Roman"/>
          <w:color w:val="auto"/>
          <w:lang w:val="ru-RU"/>
        </w:rPr>
      </w:pPr>
    </w:p>
    <w:p w14:paraId="06B03096" w14:textId="77777777" w:rsidR="00DB3401" w:rsidRPr="004373D6" w:rsidRDefault="00000000" w:rsidP="004373D6">
      <w:pPr>
        <w:ind w:firstLine="709"/>
        <w:jc w:val="center"/>
        <w:rPr>
          <w:rFonts w:ascii="Times New Roman" w:eastAsia="Microsoft YaHei" w:hAnsi="Times New Roman" w:cs="Times New Roman"/>
          <w:b/>
          <w:bCs/>
          <w:color w:val="auto"/>
          <w:lang w:val="ru-RU"/>
        </w:rPr>
      </w:pPr>
      <w:r w:rsidRPr="004373D6">
        <w:rPr>
          <w:rFonts w:ascii="Times New Roman" w:eastAsia="Microsoft YaHei" w:hAnsi="Times New Roman" w:cs="Times New Roman"/>
          <w:b/>
          <w:bCs/>
          <w:color w:val="auto"/>
          <w:lang w:val="ru-RU"/>
        </w:rPr>
        <w:t>Влияние Александра Гора на китайскую авангардную музыку</w:t>
      </w:r>
    </w:p>
    <w:p w14:paraId="30448E9C" w14:textId="77777777" w:rsidR="00DB3401" w:rsidRPr="004373D6" w:rsidRDefault="00DB3401" w:rsidP="004373D6">
      <w:pPr>
        <w:ind w:firstLine="709"/>
        <w:jc w:val="center"/>
        <w:rPr>
          <w:rFonts w:ascii="Times New Roman" w:hAnsi="Times New Roman"/>
          <w:b/>
          <w:bCs/>
          <w:color w:val="auto"/>
          <w:lang w:val="ru-RU"/>
        </w:rPr>
      </w:pPr>
    </w:p>
    <w:p w14:paraId="511FBF47" w14:textId="77777777" w:rsidR="00DB3401" w:rsidRPr="004373D6" w:rsidRDefault="00000000" w:rsidP="004373D6">
      <w:pPr>
        <w:ind w:firstLine="709"/>
        <w:jc w:val="center"/>
        <w:rPr>
          <w:rFonts w:ascii="Times New Roman" w:eastAsia="Times New Roman" w:hAnsi="Times New Roman" w:cs="Times New Roman"/>
          <w:color w:val="auto"/>
          <w:lang w:val="ru-RU"/>
        </w:rPr>
      </w:pPr>
      <w:r w:rsidRPr="004373D6">
        <w:rPr>
          <w:rFonts w:ascii="Times New Roman" w:hAnsi="Times New Roman"/>
          <w:b/>
          <w:bCs/>
          <w:i/>
          <w:iCs/>
          <w:color w:val="auto"/>
          <w:lang w:val="ru-RU"/>
        </w:rPr>
        <w:t>Научный руководитель – Заднепровская Галина Викторовна</w:t>
      </w:r>
    </w:p>
    <w:p w14:paraId="49F9E102" w14:textId="77777777" w:rsidR="00DB3401" w:rsidRPr="004373D6" w:rsidRDefault="00000000" w:rsidP="004373D6">
      <w:pPr>
        <w:ind w:firstLine="709"/>
        <w:jc w:val="center"/>
        <w:rPr>
          <w:rFonts w:ascii="Times New Roman" w:eastAsia="Times New Roman" w:hAnsi="Times New Roman" w:cs="Times New Roman"/>
          <w:b/>
          <w:bCs/>
          <w:i/>
          <w:iCs/>
          <w:color w:val="auto"/>
          <w:lang w:val="ru-RU"/>
        </w:rPr>
      </w:pPr>
      <w:r w:rsidRPr="004373D6">
        <w:rPr>
          <w:rFonts w:ascii="Times New Roman" w:hAnsi="Times New Roman"/>
          <w:b/>
          <w:bCs/>
          <w:i/>
          <w:iCs/>
          <w:color w:val="auto"/>
          <w:lang w:val="ru-RU"/>
        </w:rPr>
        <w:t xml:space="preserve">Цзян </w:t>
      </w:r>
      <w:proofErr w:type="spellStart"/>
      <w:r w:rsidRPr="004373D6">
        <w:rPr>
          <w:rFonts w:ascii="Times New Roman" w:hAnsi="Times New Roman"/>
          <w:b/>
          <w:bCs/>
          <w:i/>
          <w:iCs/>
          <w:color w:val="auto"/>
          <w:lang w:val="ru-RU"/>
        </w:rPr>
        <w:t>Чжэньчуань</w:t>
      </w:r>
      <w:proofErr w:type="spellEnd"/>
    </w:p>
    <w:p w14:paraId="1239D7E1" w14:textId="77777777" w:rsidR="00DB3401" w:rsidRPr="004373D6" w:rsidRDefault="00000000" w:rsidP="004373D6">
      <w:pPr>
        <w:ind w:firstLine="709"/>
        <w:jc w:val="center"/>
        <w:rPr>
          <w:rFonts w:ascii="Times New Roman" w:eastAsia="Times New Roman" w:hAnsi="Times New Roman" w:cs="Times New Roman"/>
          <w:color w:val="auto"/>
          <w:lang w:val="ru-RU"/>
        </w:rPr>
      </w:pPr>
      <w:r w:rsidRPr="004373D6">
        <w:rPr>
          <w:rFonts w:ascii="Times New Roman" w:hAnsi="Times New Roman"/>
          <w:color w:val="auto"/>
          <w:lang w:val="ru-RU"/>
        </w:rPr>
        <w:t>Аспирант</w:t>
      </w:r>
    </w:p>
    <w:p w14:paraId="501B9786" w14:textId="77777777" w:rsidR="00DB3401" w:rsidRPr="004373D6" w:rsidRDefault="00000000" w:rsidP="004373D6">
      <w:pPr>
        <w:ind w:firstLine="709"/>
        <w:jc w:val="center"/>
        <w:rPr>
          <w:rFonts w:ascii="Times New Roman" w:eastAsia="Times New Roman" w:hAnsi="Times New Roman" w:cs="Times New Roman"/>
          <w:i/>
          <w:iCs/>
          <w:color w:val="auto"/>
          <w:lang w:val="ru-RU"/>
        </w:rPr>
      </w:pPr>
      <w:r w:rsidRPr="004373D6">
        <w:rPr>
          <w:rFonts w:ascii="Times New Roman" w:hAnsi="Times New Roman"/>
          <w:i/>
          <w:iCs/>
          <w:color w:val="auto"/>
          <w:lang w:val="ru-RU"/>
        </w:rPr>
        <w:t>Московский Государственный университет имени М.В. Ломоносова, Факультет искусств, Кафедра музыкального искусства, Москва, Россия</w:t>
      </w:r>
    </w:p>
    <w:p w14:paraId="4D90BFC7" w14:textId="77777777" w:rsidR="00DB3401" w:rsidRPr="004373D6" w:rsidRDefault="00000000" w:rsidP="004373D6">
      <w:pPr>
        <w:ind w:firstLine="709"/>
        <w:jc w:val="center"/>
        <w:rPr>
          <w:rFonts w:ascii="Times New Roman" w:eastAsia="Times New Roman" w:hAnsi="Times New Roman" w:cs="Times New Roman"/>
          <w:color w:val="auto"/>
          <w:lang w:val="ru-RU"/>
        </w:rPr>
      </w:pPr>
      <w:r w:rsidRPr="004373D6">
        <w:rPr>
          <w:rFonts w:ascii="Times New Roman" w:eastAsia="SimSun" w:hAnsi="Times New Roman" w:hint="eastAsia"/>
          <w:color w:val="auto"/>
          <w:lang w:eastAsia="zh-CN"/>
        </w:rPr>
        <w:t>E</w:t>
      </w:r>
      <w:r w:rsidRPr="004373D6">
        <w:rPr>
          <w:rFonts w:ascii="Times New Roman" w:hAnsi="Times New Roman"/>
          <w:color w:val="auto"/>
          <w:lang w:val="ru-RU"/>
        </w:rPr>
        <w:t>-</w:t>
      </w:r>
      <w:r w:rsidRPr="004373D6">
        <w:rPr>
          <w:rFonts w:ascii="Times New Roman" w:hAnsi="Times New Roman"/>
          <w:color w:val="auto"/>
        </w:rPr>
        <w:t>mail</w:t>
      </w:r>
      <w:r w:rsidRPr="004373D6">
        <w:rPr>
          <w:rFonts w:ascii="Times New Roman" w:hAnsi="Times New Roman"/>
          <w:color w:val="auto"/>
          <w:lang w:val="ru-RU"/>
        </w:rPr>
        <w:t>: 2248683211@</w:t>
      </w:r>
      <w:proofErr w:type="spellStart"/>
      <w:r w:rsidRPr="004373D6">
        <w:rPr>
          <w:rFonts w:ascii="Times New Roman" w:hAnsi="Times New Roman"/>
          <w:color w:val="auto"/>
        </w:rPr>
        <w:t>qq</w:t>
      </w:r>
      <w:proofErr w:type="spellEnd"/>
      <w:r w:rsidRPr="004373D6">
        <w:rPr>
          <w:rFonts w:ascii="Times New Roman" w:hAnsi="Times New Roman"/>
          <w:color w:val="auto"/>
          <w:lang w:val="ru-RU"/>
        </w:rPr>
        <w:t>.</w:t>
      </w:r>
      <w:r w:rsidRPr="004373D6">
        <w:rPr>
          <w:rFonts w:ascii="Times New Roman" w:hAnsi="Times New Roman"/>
          <w:color w:val="auto"/>
        </w:rPr>
        <w:t>com</w:t>
      </w:r>
    </w:p>
    <w:p w14:paraId="451A15CD" w14:textId="77777777" w:rsidR="00DB3401" w:rsidRPr="004373D6" w:rsidRDefault="00DB3401" w:rsidP="004373D6">
      <w:pPr>
        <w:ind w:firstLine="709"/>
        <w:jc w:val="center"/>
        <w:rPr>
          <w:rStyle w:val="a7"/>
          <w:rFonts w:ascii="Times New Roman" w:eastAsia="Times New Roman" w:hAnsi="Times New Roman" w:cs="Times New Roman"/>
          <w:color w:val="auto"/>
          <w:lang w:val="ru-RU"/>
        </w:rPr>
      </w:pPr>
    </w:p>
    <w:p w14:paraId="568AF063" w14:textId="61135FDC" w:rsidR="00DB3401" w:rsidRPr="004373D6" w:rsidRDefault="00000000" w:rsidP="004373D6">
      <w:pPr>
        <w:ind w:firstLine="709"/>
        <w:jc w:val="both"/>
        <w:rPr>
          <w:rStyle w:val="a7"/>
          <w:rFonts w:ascii="Times New Roman" w:eastAsia="Times New Roman" w:hAnsi="Times New Roman" w:cs="Times New Roman"/>
          <w:color w:val="auto"/>
          <w:lang w:val="ru-RU"/>
        </w:rPr>
      </w:pPr>
      <w:r w:rsidRPr="004373D6">
        <w:rPr>
          <w:rStyle w:val="a7"/>
          <w:rFonts w:ascii="Times New Roman" w:hAnsi="Times New Roman"/>
          <w:color w:val="auto"/>
          <w:lang w:val="ru-RU"/>
        </w:rPr>
        <w:t>Александр Гор — профессор композиторского факультета Кембриджского университета (Великобритания), первый учёный, который прочитал в Китае курс лекций по авангардной музыке и познакомил китайскую аудиторию с этим направлением. Именно под его влиянием первое поколение китайских композиторов-авангардистов по-настоящему осмыслило авангардную музыку.</w:t>
      </w:r>
      <w:r w:rsidR="004373D6">
        <w:rPr>
          <w:rStyle w:val="a7"/>
          <w:rFonts w:ascii="Times New Roman" w:hAnsi="Times New Roman"/>
          <w:color w:val="auto"/>
          <w:lang w:val="ru-RU"/>
        </w:rPr>
        <w:t xml:space="preserve"> </w:t>
      </w:r>
      <w:r w:rsidRPr="004373D6">
        <w:rPr>
          <w:rStyle w:val="a7"/>
          <w:rFonts w:ascii="Times New Roman" w:hAnsi="Times New Roman"/>
          <w:color w:val="auto"/>
          <w:lang w:val="ru-RU"/>
        </w:rPr>
        <w:t>До приезда Александра Гора в Китай стремление китайских композиторов к современному музыкальному творчеству во многом оставалось на уровне идей. Что касается композиционной техники, им требовалось более глубокое изучение и практическое применение, а инновационное сознание нуждалось в развитии.</w:t>
      </w:r>
      <w:r w:rsidR="004373D6">
        <w:rPr>
          <w:rStyle w:val="a7"/>
          <w:rFonts w:ascii="Times New Roman" w:hAnsi="Times New Roman"/>
          <w:color w:val="auto"/>
          <w:lang w:val="ru-RU"/>
        </w:rPr>
        <w:t xml:space="preserve"> </w:t>
      </w:r>
      <w:r w:rsidRPr="004373D6">
        <w:rPr>
          <w:rStyle w:val="a7"/>
          <w:rFonts w:ascii="Times New Roman" w:hAnsi="Times New Roman"/>
          <w:color w:val="auto"/>
          <w:lang w:val="ru-RU"/>
        </w:rPr>
        <w:t xml:space="preserve">Ван </w:t>
      </w:r>
      <w:proofErr w:type="spellStart"/>
      <w:r w:rsidRPr="004373D6">
        <w:rPr>
          <w:rStyle w:val="a7"/>
          <w:rFonts w:ascii="Times New Roman" w:hAnsi="Times New Roman"/>
          <w:color w:val="auto"/>
          <w:lang w:val="ru-RU"/>
        </w:rPr>
        <w:t>Цычжао</w:t>
      </w:r>
      <w:proofErr w:type="spellEnd"/>
      <w:r w:rsidRPr="004373D6">
        <w:rPr>
          <w:rStyle w:val="a7"/>
          <w:rFonts w:ascii="Times New Roman" w:hAnsi="Times New Roman"/>
          <w:color w:val="auto"/>
          <w:lang w:val="ru-RU"/>
        </w:rPr>
        <w:t xml:space="preserve"> в книге «Композиторский факультет Центральной консерватории, класс 1977 года» </w:t>
      </w:r>
      <w:r w:rsidR="004373D6" w:rsidRPr="004373D6">
        <w:rPr>
          <w:rStyle w:val="a7"/>
          <w:rFonts w:ascii="Times New Roman" w:hAnsi="Times New Roman"/>
          <w:color w:val="auto"/>
          <w:lang w:val="ru-RU"/>
        </w:rPr>
        <w:t>пишет</w:t>
      </w:r>
      <w:r w:rsidRPr="004373D6">
        <w:rPr>
          <w:rStyle w:val="a7"/>
          <w:rFonts w:ascii="Times New Roman" w:hAnsi="Times New Roman"/>
          <w:color w:val="auto"/>
          <w:lang w:val="ru-RU"/>
        </w:rPr>
        <w:t>: «Хотя перед этими молодыми людьми были открыты все двери, в то время в школе практически не было теоретических книг, нотных и аудиозаписей, учебных материалов по западной современной музыке»</w:t>
      </w:r>
      <w:r w:rsidR="004373D6" w:rsidRPr="004373D6">
        <w:rPr>
          <w:rStyle w:val="a7"/>
          <w:rFonts w:ascii="Times New Roman" w:hAnsi="Times New Roman"/>
          <w:color w:val="auto"/>
          <w:lang w:val="ru-RU"/>
        </w:rPr>
        <w:t xml:space="preserve"> </w:t>
      </w:r>
      <w:r w:rsidR="004373D6" w:rsidRPr="004373D6">
        <w:rPr>
          <w:rStyle w:val="a7"/>
          <w:rFonts w:ascii="Times New Roman" w:hAnsi="Times New Roman"/>
          <w:color w:val="auto"/>
          <w:lang w:val="ru-RU"/>
        </w:rPr>
        <w:t>[1, с. 75]</w:t>
      </w:r>
      <w:r w:rsidRPr="004373D6">
        <w:rPr>
          <w:rStyle w:val="a7"/>
          <w:rFonts w:ascii="Times New Roman" w:hAnsi="Times New Roman"/>
          <w:color w:val="auto"/>
          <w:lang w:val="ru-RU"/>
        </w:rPr>
        <w:t>. Это также отражает реальное положение студентов, лишённых возможности изучать современную музыку. Несмотря на это, в своей практике студенты всё же пытались добиться новых прорывов; например, на отчётных концертах часто исполнялись атональные произведения.</w:t>
      </w:r>
      <w:r w:rsidR="004373D6">
        <w:rPr>
          <w:rStyle w:val="a7"/>
          <w:rFonts w:ascii="Times New Roman" w:hAnsi="Times New Roman"/>
          <w:color w:val="auto"/>
          <w:lang w:val="ru-RU"/>
        </w:rPr>
        <w:t xml:space="preserve"> </w:t>
      </w:r>
      <w:r w:rsidRPr="004373D6">
        <w:rPr>
          <w:rStyle w:val="a7"/>
          <w:rFonts w:ascii="Times New Roman" w:hAnsi="Times New Roman"/>
          <w:color w:val="auto"/>
          <w:lang w:val="ru-RU"/>
        </w:rPr>
        <w:t>С 19 мая по 12 июня 1980 года в Центральную консерваторию был приглашён профессор Кембриджского университета Александр Гор для преподавания композиции и проведения лекций по современному музыкальному творчеству. Цикл лекций Гора «Современное музыкальное творчество» состоял из десяти встреч. На лекциях подробно разбирались и анализировались следующие произведения: «Следы на снегу» Клода Дебюсси, «Пять пьес для оркестра» (№ 1) и «Пьеса для фортепиано» (</w:t>
      </w:r>
      <w:r w:rsidRPr="004373D6">
        <w:rPr>
          <w:rStyle w:val="a7"/>
          <w:rFonts w:ascii="Times New Roman" w:hAnsi="Times New Roman"/>
          <w:color w:val="auto"/>
        </w:rPr>
        <w:t>Op</w:t>
      </w:r>
      <w:r w:rsidRPr="004373D6">
        <w:rPr>
          <w:rStyle w:val="a7"/>
          <w:rFonts w:ascii="Times New Roman" w:hAnsi="Times New Roman"/>
          <w:color w:val="auto"/>
          <w:lang w:val="ru-RU"/>
        </w:rPr>
        <w:t>. 33</w:t>
      </w:r>
      <w:r w:rsidRPr="004373D6">
        <w:rPr>
          <w:rStyle w:val="a7"/>
          <w:rFonts w:ascii="Times New Roman" w:hAnsi="Times New Roman"/>
          <w:color w:val="auto"/>
        </w:rPr>
        <w:t>a</w:t>
      </w:r>
      <w:r w:rsidRPr="004373D6">
        <w:rPr>
          <w:rStyle w:val="a7"/>
          <w:rFonts w:ascii="Times New Roman" w:hAnsi="Times New Roman"/>
          <w:color w:val="auto"/>
          <w:lang w:val="ru-RU"/>
        </w:rPr>
        <w:t>) Арнольда Шёнберга, «Вариации» (</w:t>
      </w:r>
      <w:r w:rsidRPr="004373D6">
        <w:rPr>
          <w:rStyle w:val="a7"/>
          <w:rFonts w:ascii="Times New Roman" w:hAnsi="Times New Roman"/>
          <w:color w:val="auto"/>
        </w:rPr>
        <w:t>Op</w:t>
      </w:r>
      <w:r w:rsidRPr="004373D6">
        <w:rPr>
          <w:rStyle w:val="a7"/>
          <w:rFonts w:ascii="Times New Roman" w:hAnsi="Times New Roman"/>
          <w:color w:val="auto"/>
          <w:lang w:val="ru-RU"/>
        </w:rPr>
        <w:t xml:space="preserve">. 27) Антона Веберна, «Симфонии духовых инструментов» Игоря Стравинского, «Ритмические этюды» и «Лад длительностей и интенсивностей» Оливье Мессиана. Также упоминались композиторы </w:t>
      </w:r>
      <w:proofErr w:type="spellStart"/>
      <w:r w:rsidRPr="004373D6">
        <w:rPr>
          <w:rStyle w:val="a7"/>
          <w:rFonts w:ascii="Times New Roman" w:hAnsi="Times New Roman"/>
          <w:color w:val="auto"/>
          <w:lang w:val="ru-RU"/>
        </w:rPr>
        <w:t>Карлхайнц</w:t>
      </w:r>
      <w:proofErr w:type="spellEnd"/>
      <w:r w:rsidRPr="004373D6">
        <w:rPr>
          <w:rStyle w:val="a7"/>
          <w:rFonts w:ascii="Times New Roman" w:hAnsi="Times New Roman"/>
          <w:color w:val="auto"/>
          <w:lang w:val="ru-RU"/>
        </w:rPr>
        <w:t xml:space="preserve"> Штокхаузен, </w:t>
      </w:r>
      <w:proofErr w:type="spellStart"/>
      <w:r w:rsidRPr="004373D6">
        <w:rPr>
          <w:rStyle w:val="a7"/>
          <w:rFonts w:ascii="Times New Roman" w:hAnsi="Times New Roman"/>
          <w:color w:val="auto"/>
          <w:lang w:val="ru-RU"/>
        </w:rPr>
        <w:t>Эллиотт</w:t>
      </w:r>
      <w:proofErr w:type="spellEnd"/>
      <w:r w:rsidRPr="004373D6">
        <w:rPr>
          <w:rStyle w:val="a7"/>
          <w:rFonts w:ascii="Times New Roman" w:hAnsi="Times New Roman"/>
          <w:color w:val="auto"/>
          <w:lang w:val="ru-RU"/>
        </w:rPr>
        <w:t xml:space="preserve"> Картер, Дьёрдь Лигети и другие. Выбранные Гором композиторы и произведения в большинстве своём были репрезентативными образцами авангардной музыки. Анализируя восемь занятий по композиции и десять теоретических лекций, можно выделить следующие основные темы:</w:t>
      </w:r>
    </w:p>
    <w:p w14:paraId="71804ECA" w14:textId="3B89D350" w:rsidR="00DB3401" w:rsidRPr="004373D6" w:rsidRDefault="00000000" w:rsidP="004373D6">
      <w:pPr>
        <w:numPr>
          <w:ilvl w:val="0"/>
          <w:numId w:val="1"/>
        </w:numPr>
        <w:ind w:left="0" w:firstLine="709"/>
        <w:jc w:val="both"/>
        <w:rPr>
          <w:rStyle w:val="a7"/>
          <w:rFonts w:ascii="Times New Roman" w:eastAsia="Times New Roman" w:hAnsi="Times New Roman" w:cs="Times New Roman"/>
          <w:color w:val="auto"/>
          <w:lang w:val="ru-RU"/>
        </w:rPr>
      </w:pPr>
      <w:r w:rsidRPr="004373D6">
        <w:rPr>
          <w:rStyle w:val="a7"/>
          <w:rFonts w:ascii="Times New Roman" w:hAnsi="Times New Roman"/>
          <w:b/>
          <w:bCs/>
          <w:color w:val="auto"/>
          <w:lang w:val="ru-RU"/>
        </w:rPr>
        <w:t>Мотивная структура и развитие мотива</w:t>
      </w:r>
      <w:r w:rsidR="004373D6" w:rsidRPr="004373D6">
        <w:rPr>
          <w:rStyle w:val="a7"/>
          <w:rFonts w:ascii="Times New Roman" w:hAnsi="Times New Roman"/>
          <w:b/>
          <w:bCs/>
          <w:color w:val="auto"/>
          <w:lang w:val="ru-RU"/>
        </w:rPr>
        <w:t xml:space="preserve">. </w:t>
      </w:r>
      <w:r w:rsidRPr="004373D6">
        <w:rPr>
          <w:rStyle w:val="a7"/>
          <w:rFonts w:ascii="Times New Roman" w:hAnsi="Times New Roman"/>
          <w:color w:val="auto"/>
          <w:lang w:val="ru-RU"/>
        </w:rPr>
        <w:t xml:space="preserve">Гор указывал: «Мотив подобен слову, слову, которое можно запомнить. Если его нельзя запомнить, значит, он бесполезен». Он подчёркивал, что мотив не может быть простой гаммой, он должен иметь особую форму. Он рекомендовал больше писать мелодий, затем сокращать их до мотива и через этот мотив развивать новые музыкальные идеи. Кроме того, Гор рассматривал развитие мотива в лекциях. Он отмечал: «В традиционном музыкальном мышлении мы думаем о мелодии, гармонии, тональности, модуляции. В музыке, начиная с Дебюсси и далее, мы должны понимать структуру и находить мотивы, интервалы, звукоряды. Только используя этот метод и объединяя их, можно достичь прогресса». На примере «Следов на снегу» Дебюсси он анализировал приёмы развития мотива. Примечательно, что два мотива, появляющиеся в начале этой пьесы, в процессе развития постепенно формируют две формы </w:t>
      </w:r>
      <w:proofErr w:type="spellStart"/>
      <w:r w:rsidRPr="004373D6">
        <w:rPr>
          <w:rStyle w:val="a7"/>
          <w:rFonts w:ascii="Times New Roman" w:hAnsi="Times New Roman"/>
          <w:color w:val="auto"/>
          <w:lang w:val="ru-RU"/>
        </w:rPr>
        <w:t>целотонной</w:t>
      </w:r>
      <w:proofErr w:type="spellEnd"/>
      <w:r w:rsidRPr="004373D6">
        <w:rPr>
          <w:rStyle w:val="a7"/>
          <w:rFonts w:ascii="Times New Roman" w:hAnsi="Times New Roman"/>
          <w:color w:val="auto"/>
          <w:lang w:val="ru-RU"/>
        </w:rPr>
        <w:t xml:space="preserve"> гаммы, играя важную структурообразующую роль в произведении.</w:t>
      </w:r>
    </w:p>
    <w:p w14:paraId="2F2AE2A4" w14:textId="3AFE816D" w:rsidR="00DB3401" w:rsidRPr="004373D6" w:rsidRDefault="00000000" w:rsidP="004373D6">
      <w:pPr>
        <w:numPr>
          <w:ilvl w:val="0"/>
          <w:numId w:val="1"/>
        </w:numPr>
        <w:ind w:left="0" w:firstLine="709"/>
        <w:jc w:val="both"/>
        <w:rPr>
          <w:rStyle w:val="a7"/>
          <w:rFonts w:ascii="Times New Roman" w:eastAsia="Times New Roman" w:hAnsi="Times New Roman" w:cs="Times New Roman"/>
          <w:color w:val="auto"/>
          <w:lang w:val="ru-RU"/>
        </w:rPr>
      </w:pPr>
      <w:r w:rsidRPr="004373D6">
        <w:rPr>
          <w:rStyle w:val="a7"/>
          <w:rFonts w:ascii="Times New Roman" w:hAnsi="Times New Roman"/>
          <w:b/>
          <w:bCs/>
          <w:color w:val="auto"/>
          <w:lang w:val="ru-RU"/>
        </w:rPr>
        <w:lastRenderedPageBreak/>
        <w:t>Атональное письмо</w:t>
      </w:r>
      <w:r w:rsidR="004373D6" w:rsidRPr="004373D6">
        <w:rPr>
          <w:rStyle w:val="a7"/>
          <w:rFonts w:ascii="Times New Roman" w:hAnsi="Times New Roman"/>
          <w:b/>
          <w:bCs/>
          <w:color w:val="auto"/>
          <w:lang w:val="ru-RU"/>
        </w:rPr>
        <w:t xml:space="preserve">. </w:t>
      </w:r>
      <w:r w:rsidRPr="004373D6">
        <w:rPr>
          <w:rStyle w:val="a7"/>
          <w:rFonts w:ascii="Times New Roman" w:hAnsi="Times New Roman"/>
          <w:color w:val="auto"/>
          <w:lang w:val="ru-RU"/>
        </w:rPr>
        <w:t xml:space="preserve">На четвёртом и пятом уроках композиции Гор основное внимание уделил атональной и </w:t>
      </w:r>
      <w:proofErr w:type="spellStart"/>
      <w:r w:rsidRPr="004373D6">
        <w:rPr>
          <w:rStyle w:val="a7"/>
          <w:rFonts w:ascii="Times New Roman" w:hAnsi="Times New Roman"/>
          <w:color w:val="auto"/>
          <w:lang w:val="ru-RU"/>
        </w:rPr>
        <w:t>додекафонной</w:t>
      </w:r>
      <w:proofErr w:type="spellEnd"/>
      <w:r w:rsidRPr="004373D6">
        <w:rPr>
          <w:rStyle w:val="a7"/>
          <w:rFonts w:ascii="Times New Roman" w:hAnsi="Times New Roman"/>
          <w:color w:val="auto"/>
          <w:lang w:val="ru-RU"/>
        </w:rPr>
        <w:t xml:space="preserve"> технике письма. Он также говорил о необходимости широко использовать полифонические приёмы в творчестве, особенно скрытую полифонию, что открывает безграничные возможности для развития мелодии, а также о необходимости применения различных исполнительских приёмов.</w:t>
      </w:r>
      <w:r w:rsidR="004373D6" w:rsidRPr="004373D6">
        <w:rPr>
          <w:rStyle w:val="a7"/>
          <w:rFonts w:ascii="Times New Roman" w:hAnsi="Times New Roman"/>
          <w:color w:val="auto"/>
          <w:lang w:val="ru-RU"/>
        </w:rPr>
        <w:t xml:space="preserve"> </w:t>
      </w:r>
      <w:r w:rsidRPr="004373D6">
        <w:rPr>
          <w:rStyle w:val="a7"/>
          <w:rFonts w:ascii="Times New Roman" w:hAnsi="Times New Roman"/>
          <w:color w:val="auto"/>
          <w:lang w:val="ru-RU"/>
        </w:rPr>
        <w:t xml:space="preserve">В четвёртой лекции цикла «Современное музыкальное творчество» Гор подробно объяснил атональные методы Шёнберга и Веберна, особенно технику додекафонии, отметив: «Выбор первоначального ряда оказывает большое влияние на характер музыки, которая будет написана впоследствии. Это расположение, которое можно сделать». Он рассказал о приёмах, используемых в додекафонии Шёнберга: </w:t>
      </w:r>
      <w:proofErr w:type="spellStart"/>
      <w:r w:rsidRPr="004373D6">
        <w:rPr>
          <w:rStyle w:val="a7"/>
          <w:rFonts w:ascii="Times New Roman" w:hAnsi="Times New Roman"/>
          <w:color w:val="auto"/>
          <w:lang w:val="ru-RU"/>
        </w:rPr>
        <w:t>ракоход</w:t>
      </w:r>
      <w:proofErr w:type="spellEnd"/>
      <w:r w:rsidRPr="004373D6">
        <w:rPr>
          <w:rStyle w:val="a7"/>
          <w:rFonts w:ascii="Times New Roman" w:hAnsi="Times New Roman"/>
          <w:color w:val="auto"/>
          <w:lang w:val="ru-RU"/>
        </w:rPr>
        <w:t>, инверсия, ракоходная инверсия, и далее разъяснил метод разделения двенадцати полутонов на две, три или четыре группы, назвав эту теорию «теорией комбинаций». На примере гексахорда и тетрахорда он подробно объяснил конкретные способы расположения различных «комбинаций».</w:t>
      </w:r>
      <w:r w:rsidR="004373D6" w:rsidRPr="004373D6">
        <w:rPr>
          <w:rStyle w:val="a7"/>
          <w:rFonts w:ascii="Times New Roman" w:hAnsi="Times New Roman"/>
          <w:color w:val="auto"/>
          <w:lang w:val="ru-RU"/>
        </w:rPr>
        <w:t xml:space="preserve"> </w:t>
      </w:r>
      <w:r w:rsidRPr="004373D6">
        <w:rPr>
          <w:rStyle w:val="a7"/>
          <w:rFonts w:ascii="Times New Roman" w:hAnsi="Times New Roman"/>
          <w:color w:val="auto"/>
          <w:lang w:val="ru-RU"/>
        </w:rPr>
        <w:t>Затем, на примере «Фортепианных вариаций» (</w:t>
      </w:r>
      <w:r w:rsidRPr="004373D6">
        <w:rPr>
          <w:rStyle w:val="a7"/>
          <w:rFonts w:ascii="Times New Roman" w:hAnsi="Times New Roman"/>
          <w:color w:val="auto"/>
        </w:rPr>
        <w:t>Op</w:t>
      </w:r>
      <w:r w:rsidRPr="004373D6">
        <w:rPr>
          <w:rStyle w:val="a7"/>
          <w:rFonts w:ascii="Times New Roman" w:hAnsi="Times New Roman"/>
          <w:color w:val="auto"/>
          <w:lang w:val="ru-RU"/>
        </w:rPr>
        <w:t>. 27) Веберна и его кантаты «</w:t>
      </w:r>
      <w:r w:rsidRPr="004373D6">
        <w:rPr>
          <w:rStyle w:val="a7"/>
          <w:rFonts w:ascii="Times New Roman" w:hAnsi="Times New Roman"/>
          <w:color w:val="auto"/>
        </w:rPr>
        <w:t>Lux</w:t>
      </w:r>
      <w:r w:rsidRPr="004373D6">
        <w:rPr>
          <w:rStyle w:val="a7"/>
          <w:rFonts w:ascii="Times New Roman" w:hAnsi="Times New Roman"/>
          <w:color w:val="auto"/>
          <w:lang w:val="ru-RU"/>
        </w:rPr>
        <w:t xml:space="preserve"> </w:t>
      </w:r>
      <w:proofErr w:type="spellStart"/>
      <w:r w:rsidRPr="004373D6">
        <w:rPr>
          <w:rStyle w:val="a7"/>
          <w:rFonts w:ascii="Times New Roman" w:hAnsi="Times New Roman"/>
          <w:color w:val="auto"/>
        </w:rPr>
        <w:t>aeterna</w:t>
      </w:r>
      <w:proofErr w:type="spellEnd"/>
      <w:r w:rsidRPr="004373D6">
        <w:rPr>
          <w:rStyle w:val="a7"/>
          <w:rFonts w:ascii="Times New Roman" w:hAnsi="Times New Roman"/>
          <w:color w:val="auto"/>
          <w:lang w:val="ru-RU"/>
        </w:rPr>
        <w:t xml:space="preserve">» («Свет очей», </w:t>
      </w:r>
      <w:r w:rsidRPr="004373D6">
        <w:rPr>
          <w:rStyle w:val="a7"/>
          <w:rFonts w:ascii="Times New Roman" w:hAnsi="Times New Roman"/>
          <w:color w:val="auto"/>
        </w:rPr>
        <w:t>Op</w:t>
      </w:r>
      <w:r w:rsidRPr="004373D6">
        <w:rPr>
          <w:rStyle w:val="a7"/>
          <w:rFonts w:ascii="Times New Roman" w:hAnsi="Times New Roman"/>
          <w:color w:val="auto"/>
          <w:lang w:val="ru-RU"/>
        </w:rPr>
        <w:t xml:space="preserve">. 26) для смешанного хора и оркестра, он подробно проанализировал конкретное использование додекафонии в этих двух произведениях. Гор также указал, что цель изучения додекафонии — «сделать сложную, хаотичную музыку немного яснее, а не использовать эту технику, чтобы усложнить простую музыку». Он отметил, что </w:t>
      </w:r>
      <w:proofErr w:type="spellStart"/>
      <w:r w:rsidRPr="004373D6">
        <w:rPr>
          <w:rStyle w:val="a7"/>
          <w:rFonts w:ascii="Times New Roman" w:hAnsi="Times New Roman"/>
          <w:color w:val="auto"/>
          <w:lang w:val="ru-RU"/>
        </w:rPr>
        <w:t>додекафонная</w:t>
      </w:r>
      <w:proofErr w:type="spellEnd"/>
      <w:r w:rsidRPr="004373D6">
        <w:rPr>
          <w:rStyle w:val="a7"/>
          <w:rFonts w:ascii="Times New Roman" w:hAnsi="Times New Roman"/>
          <w:color w:val="auto"/>
          <w:lang w:val="ru-RU"/>
        </w:rPr>
        <w:t xml:space="preserve"> техника подходит для современного музыкального творчества, а не для обработки народных песен; её суть — предоставить техническую поддержку композиторам, уже овладевшим хроматическим письмом.</w:t>
      </w:r>
    </w:p>
    <w:p w14:paraId="56056141" w14:textId="2C4128DE" w:rsidR="00DB3401" w:rsidRPr="004373D6" w:rsidRDefault="00000000" w:rsidP="004373D6">
      <w:pPr>
        <w:numPr>
          <w:ilvl w:val="0"/>
          <w:numId w:val="2"/>
        </w:numPr>
        <w:ind w:left="0" w:firstLine="709"/>
        <w:jc w:val="both"/>
        <w:rPr>
          <w:rStyle w:val="a7"/>
          <w:rFonts w:ascii="Times New Roman" w:eastAsia="Times New Roman" w:hAnsi="Times New Roman" w:cs="Times New Roman"/>
          <w:color w:val="auto"/>
          <w:lang w:val="ru-RU"/>
        </w:rPr>
      </w:pPr>
      <w:r w:rsidRPr="004373D6">
        <w:rPr>
          <w:rStyle w:val="a7"/>
          <w:rFonts w:ascii="Times New Roman" w:hAnsi="Times New Roman"/>
          <w:b/>
          <w:bCs/>
          <w:color w:val="auto"/>
          <w:lang w:val="ru-RU"/>
        </w:rPr>
        <w:t>Роль ритма в музыкальном творчестве</w:t>
      </w:r>
      <w:r w:rsidR="004373D6" w:rsidRPr="004373D6">
        <w:rPr>
          <w:rStyle w:val="a7"/>
          <w:rFonts w:ascii="Times New Roman" w:hAnsi="Times New Roman"/>
          <w:b/>
          <w:bCs/>
          <w:color w:val="auto"/>
          <w:lang w:val="ru-RU"/>
        </w:rPr>
        <w:t xml:space="preserve">. </w:t>
      </w:r>
      <w:r w:rsidRPr="004373D6">
        <w:rPr>
          <w:rStyle w:val="a7"/>
          <w:rFonts w:ascii="Times New Roman" w:hAnsi="Times New Roman"/>
          <w:color w:val="auto"/>
          <w:u w:color="0F1115"/>
          <w:shd w:val="clear" w:color="auto" w:fill="FFFFFF"/>
          <w:lang w:val="ru-RU"/>
        </w:rPr>
        <w:t xml:space="preserve">Гор отмечал, что, преподавая атональную технику письма, студенты часто слишком сосредоточены на расположении нот, упуская из виду использование ритмических фигур. Он говорил: «В западной музыке существует множество способов организации ритма. В музыке за пределами Европы способов ещё больше». Гор считал, что в музыке венских классиков музыкальные акценты обычно приходятся на сильные доли; если сместить акценты, музыкальное напряжение возрастёт, и слушатель почувствует неожиданность. В музыкальном творчестве </w:t>
      </w:r>
      <w:r w:rsidRPr="004373D6">
        <w:rPr>
          <w:rStyle w:val="a7"/>
          <w:rFonts w:ascii="Times New Roman" w:hAnsi="Times New Roman"/>
          <w:color w:val="auto"/>
          <w:u w:color="0F1115"/>
          <w:shd w:val="clear" w:color="auto" w:fill="FFFFFF"/>
        </w:rPr>
        <w:t>XX</w:t>
      </w:r>
      <w:r w:rsidRPr="004373D6">
        <w:rPr>
          <w:rStyle w:val="a7"/>
          <w:rFonts w:ascii="Times New Roman" w:hAnsi="Times New Roman"/>
          <w:color w:val="auto"/>
          <w:u w:color="0F1115"/>
          <w:shd w:val="clear" w:color="auto" w:fill="FFFFFF"/>
          <w:lang w:val="ru-RU"/>
        </w:rPr>
        <w:t xml:space="preserve"> века использование ритма стало не только более сложным, но и обрело большее «функциональное значение».</w:t>
      </w:r>
    </w:p>
    <w:p w14:paraId="21A4D31B" w14:textId="7865E733" w:rsidR="00DB3401" w:rsidRPr="004373D6" w:rsidRDefault="00000000" w:rsidP="004373D6">
      <w:pPr>
        <w:pStyle w:val="a3"/>
        <w:shd w:val="clear" w:color="auto" w:fill="FFFFFF"/>
        <w:ind w:firstLine="709"/>
        <w:jc w:val="both"/>
        <w:rPr>
          <w:rFonts w:ascii="Times New Roman" w:hAnsi="Times New Roman" w:cs="Times New Roman"/>
          <w:color w:val="auto"/>
          <w:lang w:val="ru-RU"/>
        </w:rPr>
      </w:pPr>
      <w:r w:rsidRPr="004373D6">
        <w:rPr>
          <w:rStyle w:val="a7"/>
          <w:rFonts w:ascii="Times New Roman" w:hAnsi="Times New Roman"/>
          <w:b/>
          <w:bCs/>
          <w:color w:val="auto"/>
          <w:lang w:val="ru-RU"/>
        </w:rPr>
        <w:t>Влияние на развитие современной музыки в Китае</w:t>
      </w:r>
      <w:r w:rsidR="004373D6">
        <w:rPr>
          <w:rStyle w:val="a7"/>
          <w:rFonts w:ascii="Times New Roman" w:hAnsi="Times New Roman"/>
          <w:b/>
          <w:bCs/>
          <w:color w:val="auto"/>
          <w:lang w:val="ru-RU"/>
        </w:rPr>
        <w:t xml:space="preserve">. </w:t>
      </w:r>
      <w:r w:rsidRPr="004373D6">
        <w:rPr>
          <w:rFonts w:ascii="Times New Roman" w:eastAsia="Segoe UI" w:hAnsi="Times New Roman" w:cs="Times New Roman"/>
          <w:color w:val="auto"/>
          <w:shd w:val="clear" w:color="auto" w:fill="FFFFFF"/>
          <w:lang w:val="ru-RU"/>
        </w:rPr>
        <w:t>Краткие визиты и лекции Александра Г</w:t>
      </w:r>
      <w:r w:rsidR="004373D6">
        <w:rPr>
          <w:rFonts w:ascii="Times New Roman" w:eastAsia="Segoe UI" w:hAnsi="Times New Roman" w:cs="Times New Roman"/>
          <w:color w:val="auto"/>
          <w:shd w:val="clear" w:color="auto" w:fill="FFFFFF"/>
          <w:lang w:val="ru-RU"/>
        </w:rPr>
        <w:t>о</w:t>
      </w:r>
      <w:r w:rsidRPr="004373D6">
        <w:rPr>
          <w:rFonts w:ascii="Times New Roman" w:eastAsia="Segoe UI" w:hAnsi="Times New Roman" w:cs="Times New Roman"/>
          <w:color w:val="auto"/>
          <w:shd w:val="clear" w:color="auto" w:fill="FFFFFF"/>
          <w:lang w:val="ru-RU"/>
        </w:rPr>
        <w:t>ра в 1980 году сыграли роль катализатора в развитии современной китайской музыки</w:t>
      </w:r>
      <w:r w:rsidR="004373D6">
        <w:rPr>
          <w:rFonts w:ascii="Times New Roman" w:eastAsia="Segoe UI" w:hAnsi="Times New Roman" w:cs="Times New Roman"/>
          <w:color w:val="auto"/>
          <w:shd w:val="clear" w:color="auto" w:fill="FFFFFF"/>
          <w:lang w:val="ru-RU"/>
        </w:rPr>
        <w:t xml:space="preserve">. </w:t>
      </w:r>
      <w:r w:rsidRPr="004373D6">
        <w:rPr>
          <w:rStyle w:val="a4"/>
          <w:rFonts w:ascii="Times New Roman" w:eastAsia="Segoe UI" w:hAnsi="Times New Roman" w:cs="Times New Roman"/>
          <w:bCs/>
          <w:color w:val="auto"/>
          <w:shd w:val="clear" w:color="auto" w:fill="FFFFFF"/>
          <w:lang w:val="ru-RU"/>
        </w:rPr>
        <w:t>Идейный прорыв (просвещение):</w:t>
      </w:r>
      <w:r w:rsidR="004373D6">
        <w:rPr>
          <w:rFonts w:ascii="Times New Roman" w:eastAsia="Segoe UI" w:hAnsi="Times New Roman" w:cs="Times New Roman"/>
          <w:color w:val="auto"/>
          <w:shd w:val="clear" w:color="auto" w:fill="FFFFFF"/>
          <w:lang w:val="ru-RU"/>
        </w:rPr>
        <w:t xml:space="preserve"> о</w:t>
      </w:r>
      <w:r w:rsidRPr="004373D6">
        <w:rPr>
          <w:rFonts w:ascii="Times New Roman" w:eastAsia="Segoe UI" w:hAnsi="Times New Roman" w:cs="Times New Roman"/>
          <w:color w:val="auto"/>
          <w:shd w:val="clear" w:color="auto" w:fill="FFFFFF"/>
          <w:lang w:val="ru-RU"/>
        </w:rPr>
        <w:t>ни разрушили традиционные композиторские догмы, открыли новые горизонты для «пятого поколения» композиторов (включая Тань Дуня) и стимулировали стремление к новаторству и индивидуальному самовыражению.</w:t>
      </w:r>
      <w:r w:rsidR="004373D6">
        <w:rPr>
          <w:rFonts w:ascii="Times New Roman" w:eastAsia="Segoe UI" w:hAnsi="Times New Roman" w:cs="Times New Roman"/>
          <w:color w:val="auto"/>
          <w:shd w:val="clear" w:color="auto" w:fill="FFFFFF"/>
          <w:lang w:val="ru-RU"/>
        </w:rPr>
        <w:t xml:space="preserve"> </w:t>
      </w:r>
      <w:r w:rsidRPr="004373D6">
        <w:rPr>
          <w:rStyle w:val="a4"/>
          <w:rFonts w:ascii="Times New Roman" w:eastAsia="Segoe UI" w:hAnsi="Times New Roman" w:cs="Times New Roman"/>
          <w:bCs/>
          <w:color w:val="auto"/>
          <w:shd w:val="clear" w:color="auto" w:fill="FFFFFF"/>
          <w:lang w:val="ru-RU"/>
        </w:rPr>
        <w:t>Академический импульс:</w:t>
      </w:r>
      <w:r w:rsidRPr="004373D6">
        <w:rPr>
          <w:rFonts w:ascii="Times New Roman" w:eastAsia="Segoe UI" w:hAnsi="Times New Roman" w:cs="Times New Roman"/>
          <w:color w:val="auto"/>
          <w:shd w:val="clear" w:color="auto" w:fill="FFFFFF"/>
        </w:rPr>
        <w:t> </w:t>
      </w:r>
      <w:r w:rsidRPr="004373D6">
        <w:rPr>
          <w:rFonts w:ascii="Times New Roman" w:eastAsia="Segoe UI" w:hAnsi="Times New Roman" w:cs="Times New Roman"/>
          <w:color w:val="auto"/>
          <w:shd w:val="clear" w:color="auto" w:fill="FFFFFF"/>
          <w:lang w:val="ru-RU"/>
        </w:rPr>
        <w:t>Визит напрямую способствовал открытию с 1981 года в ведущих консерваториях Китая таких курсов, как «Современная музыка» и «Додекафония», что инициировало всекитайскую дискуссию о современных техниках композиции.</w:t>
      </w:r>
      <w:r w:rsidR="004373D6">
        <w:rPr>
          <w:rFonts w:ascii="Times New Roman" w:eastAsia="Segoe UI" w:hAnsi="Times New Roman" w:cs="Times New Roman"/>
          <w:color w:val="auto"/>
          <w:shd w:val="clear" w:color="auto" w:fill="FFFFFF"/>
          <w:lang w:val="ru-RU"/>
        </w:rPr>
        <w:t xml:space="preserve"> </w:t>
      </w:r>
      <w:r w:rsidRPr="004373D6">
        <w:rPr>
          <w:rStyle w:val="a4"/>
          <w:rFonts w:ascii="Times New Roman" w:eastAsia="Segoe UI" w:hAnsi="Times New Roman" w:cs="Times New Roman"/>
          <w:bCs/>
          <w:color w:val="auto"/>
          <w:shd w:val="clear" w:color="auto" w:fill="FFFFFF"/>
          <w:lang w:val="ru-RU"/>
        </w:rPr>
        <w:t>Внедрение техник</w:t>
      </w:r>
      <w:proofErr w:type="gramStart"/>
      <w:r w:rsidRPr="004373D6">
        <w:rPr>
          <w:rStyle w:val="a4"/>
          <w:rFonts w:ascii="Times New Roman" w:eastAsia="Segoe UI" w:hAnsi="Times New Roman" w:cs="Times New Roman"/>
          <w:bCs/>
          <w:color w:val="auto"/>
          <w:shd w:val="clear" w:color="auto" w:fill="FFFFFF"/>
          <w:lang w:val="ru-RU"/>
        </w:rPr>
        <w:t>:</w:t>
      </w:r>
      <w:r w:rsidRPr="004373D6">
        <w:rPr>
          <w:rFonts w:ascii="Times New Roman" w:eastAsia="Segoe UI" w:hAnsi="Times New Roman" w:cs="Times New Roman"/>
          <w:color w:val="auto"/>
          <w:shd w:val="clear" w:color="auto" w:fill="FFFFFF"/>
        </w:rPr>
        <w:t> </w:t>
      </w:r>
      <w:r w:rsidRPr="004373D6">
        <w:rPr>
          <w:rFonts w:ascii="Times New Roman" w:eastAsia="Segoe UI" w:hAnsi="Times New Roman" w:cs="Times New Roman"/>
          <w:color w:val="auto"/>
          <w:shd w:val="clear" w:color="auto" w:fill="FFFFFF"/>
          <w:lang w:val="ru-RU"/>
        </w:rPr>
        <w:t>Посредством</w:t>
      </w:r>
      <w:proofErr w:type="gramEnd"/>
      <w:r w:rsidRPr="004373D6">
        <w:rPr>
          <w:rFonts w:ascii="Times New Roman" w:eastAsia="Segoe UI" w:hAnsi="Times New Roman" w:cs="Times New Roman"/>
          <w:color w:val="auto"/>
          <w:shd w:val="clear" w:color="auto" w:fill="FFFFFF"/>
          <w:lang w:val="ru-RU"/>
        </w:rPr>
        <w:t xml:space="preserve"> семинаров и лекций Г</w:t>
      </w:r>
      <w:r w:rsidR="004373D6">
        <w:rPr>
          <w:rFonts w:ascii="Times New Roman" w:eastAsia="Segoe UI" w:hAnsi="Times New Roman" w:cs="Times New Roman"/>
          <w:color w:val="auto"/>
          <w:shd w:val="clear" w:color="auto" w:fill="FFFFFF"/>
          <w:lang w:val="ru-RU"/>
        </w:rPr>
        <w:t>о</w:t>
      </w:r>
      <w:r w:rsidRPr="004373D6">
        <w:rPr>
          <w:rFonts w:ascii="Times New Roman" w:eastAsia="Segoe UI" w:hAnsi="Times New Roman" w:cs="Times New Roman"/>
          <w:color w:val="auto"/>
          <w:shd w:val="clear" w:color="auto" w:fill="FFFFFF"/>
          <w:lang w:val="ru-RU"/>
        </w:rPr>
        <w:t xml:space="preserve">р системно познакомил китайских музыкантов с западными композиторскими техниками </w:t>
      </w:r>
      <w:r w:rsidRPr="004373D6">
        <w:rPr>
          <w:rFonts w:ascii="Times New Roman" w:eastAsia="Segoe UI" w:hAnsi="Times New Roman" w:cs="Times New Roman"/>
          <w:color w:val="auto"/>
          <w:shd w:val="clear" w:color="auto" w:fill="FFFFFF"/>
        </w:rPr>
        <w:t>XX</w:t>
      </w:r>
      <w:r w:rsidRPr="004373D6">
        <w:rPr>
          <w:rFonts w:ascii="Times New Roman" w:eastAsia="Segoe UI" w:hAnsi="Times New Roman" w:cs="Times New Roman"/>
          <w:color w:val="auto"/>
          <w:shd w:val="clear" w:color="auto" w:fill="FFFFFF"/>
          <w:lang w:val="ru-RU"/>
        </w:rPr>
        <w:t xml:space="preserve"> века и методами анализа, что заложило теоретическую основу для последующей публикации учебных пособий по современной музыке.</w:t>
      </w:r>
    </w:p>
    <w:p w14:paraId="4B4368AF" w14:textId="77777777" w:rsidR="00DB3401" w:rsidRPr="004373D6" w:rsidRDefault="00000000" w:rsidP="004373D6">
      <w:pPr>
        <w:pStyle w:val="a3"/>
        <w:shd w:val="clear" w:color="auto" w:fill="FFFFFF"/>
        <w:ind w:firstLine="709"/>
        <w:rPr>
          <w:rFonts w:ascii="Times New Roman" w:eastAsia="Segoe UI" w:hAnsi="Times New Roman" w:cs="Times New Roman"/>
          <w:color w:val="auto"/>
          <w:lang w:val="ru-RU"/>
        </w:rPr>
      </w:pPr>
      <w:r w:rsidRPr="004373D6">
        <w:rPr>
          <w:rFonts w:ascii="Times New Roman" w:eastAsia="Segoe UI" w:hAnsi="Times New Roman" w:cs="Times New Roman"/>
          <w:color w:val="auto"/>
          <w:shd w:val="clear" w:color="auto" w:fill="FFFFFF"/>
          <w:lang w:val="ru-RU"/>
        </w:rPr>
        <w:t>Ключевое значение его визита заключается в том, что он выступил в роли «ключа», открывшего дверь для перехода китайской музыки от традиционных форм к современным методам композиции.</w:t>
      </w:r>
    </w:p>
    <w:p w14:paraId="4A3FFAF9" w14:textId="77777777" w:rsidR="00DB3401" w:rsidRPr="004373D6" w:rsidRDefault="00DB3401" w:rsidP="004373D6">
      <w:pPr>
        <w:ind w:firstLine="709"/>
        <w:jc w:val="center"/>
        <w:rPr>
          <w:rFonts w:ascii="Times New Roman" w:eastAsia="Times New Roman" w:hAnsi="Times New Roman" w:cs="Times New Roman"/>
          <w:b/>
          <w:bCs/>
          <w:color w:val="auto"/>
          <w:lang w:val="ru-RU"/>
        </w:rPr>
      </w:pPr>
    </w:p>
    <w:p w14:paraId="138C097D" w14:textId="77777777" w:rsidR="00DB3401" w:rsidRPr="004373D6" w:rsidRDefault="00000000" w:rsidP="004373D6">
      <w:pPr>
        <w:ind w:firstLine="709"/>
        <w:jc w:val="center"/>
        <w:rPr>
          <w:rStyle w:val="a7"/>
          <w:rFonts w:ascii="Times New Roman" w:eastAsia="Times New Roman" w:hAnsi="Times New Roman" w:cs="Times New Roman"/>
          <w:b/>
          <w:bCs/>
          <w:color w:val="auto"/>
          <w:lang w:val="ru-RU"/>
        </w:rPr>
      </w:pPr>
      <w:r w:rsidRPr="004373D6">
        <w:rPr>
          <w:rStyle w:val="a7"/>
          <w:rFonts w:ascii="Times New Roman" w:hAnsi="Times New Roman"/>
          <w:b/>
          <w:bCs/>
          <w:color w:val="auto"/>
          <w:lang w:val="ru-RU"/>
        </w:rPr>
        <w:t>Источники и литература</w:t>
      </w:r>
    </w:p>
    <w:p w14:paraId="7E54AA84" w14:textId="77777777" w:rsidR="00DB3401" w:rsidRPr="004373D6" w:rsidRDefault="00000000" w:rsidP="004373D6">
      <w:pPr>
        <w:numPr>
          <w:ilvl w:val="0"/>
          <w:numId w:val="3"/>
        </w:numPr>
        <w:ind w:left="0" w:firstLine="709"/>
        <w:jc w:val="both"/>
        <w:rPr>
          <w:rStyle w:val="a7"/>
          <w:rFonts w:ascii="Times New Roman" w:eastAsia="Times New Roman" w:hAnsi="Times New Roman" w:cs="Times New Roman"/>
          <w:color w:val="auto"/>
          <w:lang w:val="ru-RU"/>
        </w:rPr>
      </w:pPr>
      <w:r w:rsidRPr="004373D6">
        <w:rPr>
          <w:rStyle w:val="a7"/>
          <w:rFonts w:ascii="Times New Roman" w:hAnsi="Times New Roman"/>
          <w:b/>
          <w:bCs/>
          <w:color w:val="auto"/>
          <w:lang w:val="ru-RU"/>
        </w:rPr>
        <w:t xml:space="preserve"> </w:t>
      </w:r>
      <w:r w:rsidRPr="004373D6">
        <w:rPr>
          <w:rStyle w:val="a7"/>
          <w:rFonts w:ascii="Times New Roman" w:hAnsi="Times New Roman"/>
          <w:color w:val="auto"/>
          <w:lang w:val="ru-RU"/>
        </w:rPr>
        <w:t xml:space="preserve">Ван </w:t>
      </w:r>
      <w:proofErr w:type="spellStart"/>
      <w:r w:rsidRPr="004373D6">
        <w:rPr>
          <w:rStyle w:val="a7"/>
          <w:rFonts w:ascii="Times New Roman" w:hAnsi="Times New Roman"/>
          <w:color w:val="auto"/>
          <w:lang w:val="ru-RU"/>
        </w:rPr>
        <w:t>Цычжао</w:t>
      </w:r>
      <w:proofErr w:type="spellEnd"/>
      <w:r w:rsidRPr="004373D6">
        <w:rPr>
          <w:rStyle w:val="a7"/>
          <w:rFonts w:ascii="Times New Roman" w:hAnsi="Times New Roman"/>
          <w:color w:val="auto"/>
          <w:lang w:val="ru-RU"/>
        </w:rPr>
        <w:t xml:space="preserve"> (ред.). Композиторский факультет Центральной консерватории, класс 1977 года. — Пекин: Издательство Центральной консерватории, 2007.</w:t>
      </w:r>
    </w:p>
    <w:p w14:paraId="5C1FACD8" w14:textId="723270C4" w:rsidR="00DB3401" w:rsidRPr="004373D6" w:rsidRDefault="00000000" w:rsidP="004373D6">
      <w:pPr>
        <w:numPr>
          <w:ilvl w:val="0"/>
          <w:numId w:val="3"/>
        </w:numPr>
        <w:ind w:left="0" w:firstLine="709"/>
        <w:jc w:val="both"/>
        <w:rPr>
          <w:color w:val="auto"/>
        </w:rPr>
      </w:pPr>
      <w:r w:rsidRPr="004373D6">
        <w:rPr>
          <w:rStyle w:val="a7"/>
          <w:rFonts w:ascii="Times New Roman" w:hAnsi="Times New Roman"/>
          <w:color w:val="auto"/>
          <w:lang w:val="ru-RU"/>
        </w:rPr>
        <w:t xml:space="preserve"> Ван </w:t>
      </w:r>
      <w:proofErr w:type="spellStart"/>
      <w:r w:rsidRPr="004373D6">
        <w:rPr>
          <w:rStyle w:val="a7"/>
          <w:rFonts w:ascii="Times New Roman" w:hAnsi="Times New Roman"/>
          <w:color w:val="auto"/>
          <w:lang w:val="ru-RU"/>
        </w:rPr>
        <w:t>Аньго</w:t>
      </w:r>
      <w:proofErr w:type="spellEnd"/>
      <w:r w:rsidRPr="004373D6">
        <w:rPr>
          <w:rStyle w:val="a7"/>
          <w:rFonts w:ascii="Times New Roman" w:hAnsi="Times New Roman"/>
          <w:color w:val="auto"/>
          <w:lang w:val="ru-RU"/>
        </w:rPr>
        <w:t>. Оценка струнного квартета № 1 «Ветер-Я-Ода» Тань Дуня [</w:t>
      </w:r>
      <w:r w:rsidRPr="004373D6">
        <w:rPr>
          <w:rStyle w:val="a7"/>
          <w:rFonts w:ascii="Times New Roman" w:hAnsi="Times New Roman"/>
          <w:color w:val="auto"/>
        </w:rPr>
        <w:t>J</w:t>
      </w:r>
      <w:r w:rsidRPr="004373D6">
        <w:rPr>
          <w:rStyle w:val="a7"/>
          <w:rFonts w:ascii="Times New Roman" w:hAnsi="Times New Roman"/>
          <w:color w:val="auto"/>
          <w:lang w:val="ru-RU"/>
        </w:rPr>
        <w:t xml:space="preserve">] // Журнал Центральной консерватории. — 1984. — № 2. — С. 23–29. </w:t>
      </w:r>
      <w:r w:rsidRPr="004373D6">
        <w:rPr>
          <w:rStyle w:val="a7"/>
          <w:rFonts w:ascii="Times New Roman" w:hAnsi="Times New Roman"/>
          <w:color w:val="auto"/>
        </w:rPr>
        <w:t>DOI: 10.16504/j.cnki.cn11-1183/j.1984.02.004.</w:t>
      </w:r>
    </w:p>
    <w:sectPr w:rsidR="00DB3401" w:rsidRPr="004373D6">
      <w:headerReference w:type="default" r:id="rId7"/>
      <w:footerReference w:type="default" r:id="rId8"/>
      <w:pgSz w:w="11900" w:h="16840"/>
      <w:pgMar w:top="1134" w:right="1361" w:bottom="1134" w:left="136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8AA75" w14:textId="77777777" w:rsidR="002B205D" w:rsidRDefault="002B205D">
      <w:r>
        <w:separator/>
      </w:r>
    </w:p>
  </w:endnote>
  <w:endnote w:type="continuationSeparator" w:id="0">
    <w:p w14:paraId="08A7AF1B" w14:textId="77777777" w:rsidR="002B205D" w:rsidRDefault="002B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SimSun"/>
    <w:panose1 w:val="020B0604020202020204"/>
    <w:charset w:val="86"/>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CA6C" w14:textId="77777777" w:rsidR="00DB3401" w:rsidRDefault="00DB34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8BB1" w14:textId="77777777" w:rsidR="002B205D" w:rsidRDefault="002B205D">
      <w:r>
        <w:separator/>
      </w:r>
    </w:p>
  </w:footnote>
  <w:footnote w:type="continuationSeparator" w:id="0">
    <w:p w14:paraId="3482A9A6" w14:textId="77777777" w:rsidR="002B205D" w:rsidRDefault="002B2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473F" w14:textId="77777777" w:rsidR="00DB3401" w:rsidRDefault="00DB340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decimal"/>
      <w:lvlText w:val="%1."/>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9ADCABA"/>
    <w:multiLevelType w:val="multilevel"/>
    <w:tmpl w:val="59ADCABA"/>
    <w:lvl w:ilvl="0">
      <w:start w:val="1"/>
      <w:numFmt w:val="decimal"/>
      <w:lvlText w:val="%1."/>
      <w:lvlJc w:val="left"/>
      <w:pPr>
        <w:tabs>
          <w:tab w:val="left" w:pos="720"/>
          <w:tab w:val="left" w:pos="8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20"/>
          <w:tab w:val="left" w:pos="840"/>
          <w:tab w:val="left" w:pos="15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720"/>
          <w:tab w:val="left" w:pos="840"/>
        </w:tabs>
        <w:ind w:left="216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720"/>
          <w:tab w:val="left" w:pos="840"/>
        </w:tabs>
        <w:ind w:left="2880" w:hanging="2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left" w:pos="720"/>
          <w:tab w:val="left" w:pos="840"/>
          <w:tab w:val="left" w:pos="3720"/>
        </w:tabs>
        <w:ind w:left="3600" w:hanging="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tabs>
          <w:tab w:val="left" w:pos="720"/>
          <w:tab w:val="left" w:pos="840"/>
          <w:tab w:val="left" w:pos="4440"/>
        </w:tabs>
        <w:ind w:left="4320" w:hanging="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720"/>
          <w:tab w:val="left" w:pos="840"/>
        </w:tabs>
        <w:ind w:left="5040" w:hanging="1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tabs>
          <w:tab w:val="left" w:pos="720"/>
          <w:tab w:val="left" w:pos="840"/>
          <w:tab w:val="left" w:pos="58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tabs>
          <w:tab w:val="left" w:pos="720"/>
          <w:tab w:val="left" w:pos="840"/>
          <w:tab w:val="left" w:pos="66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58737414">
    <w:abstractNumId w:val="0"/>
  </w:num>
  <w:num w:numId="2" w16cid:durableId="854732593">
    <w:abstractNumId w:val="0"/>
    <w:lvlOverride w:ilvl="0">
      <w:lvl w:ilvl="0">
        <w:start w:val="1"/>
        <w:numFmt w:val="decimal"/>
        <w:lvlText w:val="%1."/>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2."/>
        <w:lvlJc w:val="left"/>
        <w:pPr>
          <w:ind w:left="364" w:hanging="3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ind w:left="364" w:hanging="3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ind w:left="364" w:hanging="3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5."/>
        <w:lvlJc w:val="left"/>
        <w:pPr>
          <w:ind w:left="364" w:hanging="3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6."/>
        <w:lvlJc w:val="left"/>
        <w:pPr>
          <w:ind w:left="364" w:hanging="3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ind w:left="364" w:hanging="3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8."/>
        <w:lvlJc w:val="left"/>
        <w:pPr>
          <w:ind w:left="364" w:hanging="3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9."/>
        <w:lvlJc w:val="left"/>
        <w:pPr>
          <w:ind w:left="364" w:hanging="36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489836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401"/>
    <w:rsid w:val="002B205D"/>
    <w:rsid w:val="004373D6"/>
    <w:rsid w:val="00CF64F4"/>
    <w:rsid w:val="00DB3401"/>
    <w:rsid w:val="14DA263D"/>
    <w:rsid w:val="28776A8F"/>
    <w:rsid w:val="645760BC"/>
    <w:rsid w:val="66953B72"/>
    <w:rsid w:val="75676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9E79"/>
  <w15:docId w15:val="{DE5C6AA9-EF22-424D-B239-727578D6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Pr>
      <w:rFonts w:ascii="Calibri" w:eastAsia="Calibri" w:hAnsi="Calibri" w:cs="Calibri"/>
      <w:color w:val="000000"/>
      <w:sz w:val="24"/>
      <w:szCs w:val="24"/>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rPr>
      <w:rFonts w:ascii="Calibri" w:eastAsia="Calibri" w:hAnsi="Calibri" w:cs="Calibri"/>
      <w:color w:val="000000"/>
      <w:sz w:val="24"/>
      <w:szCs w:val="24"/>
      <w:u w:color="000000"/>
      <w:lang w:val="en-US"/>
    </w:rPr>
  </w:style>
  <w:style w:type="character" w:styleId="a4">
    <w:name w:val="Strong"/>
    <w:basedOn w:val="a0"/>
    <w:qFormat/>
    <w:rPr>
      <w:b/>
    </w:rPr>
  </w:style>
  <w:style w:type="character" w:styleId="a5">
    <w:name w:val="Hyperlink"/>
    <w:qFormat/>
    <w:rPr>
      <w:u w:val="single"/>
    </w:rPr>
  </w:style>
  <w:style w:type="table" w:customStyle="1" w:styleId="TableNormal">
    <w:name w:val="Table Normal"/>
    <w:tblPr>
      <w:tblCellMar>
        <w:top w:w="0" w:type="dxa"/>
        <w:left w:w="0" w:type="dxa"/>
        <w:bottom w:w="0" w:type="dxa"/>
        <w:right w:w="0" w:type="dxa"/>
      </w:tblCellMar>
    </w:tblPr>
  </w:style>
  <w:style w:type="paragraph" w:customStyle="1" w:styleId="a6">
    <w:name w:val="Колонтитулы"/>
    <w:qFormat/>
    <w:pPr>
      <w:tabs>
        <w:tab w:val="right" w:pos="9020"/>
      </w:tabs>
    </w:pPr>
    <w:rPr>
      <w:rFonts w:ascii="Helvetica" w:eastAsia="Arial Unicode MS" w:hAnsi="Helvetica" w:cs="Arial Unicode MS"/>
      <w:color w:val="000000"/>
      <w:sz w:val="24"/>
      <w:szCs w:val="24"/>
    </w:rPr>
  </w:style>
  <w:style w:type="character" w:customStyle="1" w:styleId="a7">
    <w:name w:val="Нет"/>
  </w:style>
  <w:style w:type="character" w:customStyle="1" w:styleId="Hyperlink0">
    <w:name w:val="Hyperlink.0"/>
    <w:basedOn w:val="a7"/>
    <w:qFormat/>
    <w:rPr>
      <w:rFonts w:ascii="Times New Roman" w:eastAsia="Times New Roman" w:hAnsi="Times New Roman" w:cs="Times New Roman"/>
      <w:color w:val="0026E5"/>
      <w:u w:val="single" w:color="0026E5"/>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rgbClr val="000000"/>
      </a:dk1>
      <a:lt1>
        <a:srgbClr val="FFFFFF"/>
      </a:lt1>
      <a:dk2>
        <a:srgbClr val="A7A7A7"/>
      </a:dk2>
      <a:lt2>
        <a:srgbClr val="535353"/>
      </a:lt2>
      <a:accent1>
        <a:srgbClr val="4874CB"/>
      </a:accent1>
      <a:accent2>
        <a:srgbClr val="EE822F"/>
      </a:accent2>
      <a:accent3>
        <a:srgbClr val="F2BA02"/>
      </a:accent3>
      <a:accent4>
        <a:srgbClr val="75BD42"/>
      </a:accent4>
      <a:accent5>
        <a:srgbClr val="30C0B4"/>
      </a:accent5>
      <a:accent6>
        <a:srgbClr val="E54C5E"/>
      </a:accent6>
      <a:hlink>
        <a:srgbClr val="0000FF"/>
      </a:hlink>
      <a:folHlink>
        <a:srgbClr val="FF00FF"/>
      </a:folHlink>
    </a:clrScheme>
    <a:fontScheme name="WPS">
      <a:majorFont>
        <a:latin typeface="Helvetica"/>
        <a:ea typeface="Helvetica"/>
        <a:cs typeface="Helvetica"/>
      </a:majorFont>
      <a:minorFont>
        <a:latin typeface="Helvetica"/>
        <a:ea typeface="Helvetica"/>
        <a:cs typeface="Helvetica"/>
      </a:minorFont>
    </a:fontScheme>
    <a:fmtScheme name="WP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reflection stA="50000" endPos="40000" dir="5400000" sy="-100000" algn="bl" rotWithShape="0"/>
          </a:effectLst>
        </a:effectStyle>
        <a:effectStyle>
          <a:effectLst>
            <a:reflection stA="50000" endPos="40000" dir="5400000" sy="-100000" algn="bl" rotWithShape="0"/>
          </a:effectLst>
        </a:effectStyle>
        <a:effectStyle>
          <a:effectLst>
            <a:reflection stA="50000" endPos="40000" dir="5400000" sy="-100000" algn="bl" rotWithShape="0"/>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reflection stA="50000" endPos="40000" dir="5400000" sy="-100000" algn="bl" rotWithShape="0"/>
        </a:effectLst>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reflection stA="50000" endPos="40000" dir="5400000" sy="-100000" algn="bl" rotWithShape="0"/>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1085</Words>
  <Characters>6188</Characters>
  <Application>Microsoft Office Word</Application>
  <DocSecurity>0</DocSecurity>
  <Lines>51</Lines>
  <Paragraphs>14</Paragraphs>
  <ScaleCrop>false</ScaleCrop>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22486</dc:creator>
  <cp:lastModifiedBy>Галина Заднепровская</cp:lastModifiedBy>
  <cp:revision>2</cp:revision>
  <dcterms:created xsi:type="dcterms:W3CDTF">2026-03-07T14:06:00Z</dcterms:created>
  <dcterms:modified xsi:type="dcterms:W3CDTF">2026-03-09T13:23:00Z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eyJoZGlkIjoiZmUzMGVjZmI0ZGI3MzYxYThjNTU5NTRkYTllNTExNzUiLCJ1c2VySWQiOiI0NDg3MjIyNzYifQ==</vt:lpwstr>
  </property>
  <property fmtid="{D5CDD505-2E9C-101B-9397-08002B2CF9AE}" pid="3" name="KSOProductBuildVer">
    <vt:lpwstr>2052-12.1.0.24034</vt:lpwstr>
  </property>
  <property fmtid="{D5CDD505-2E9C-101B-9397-08002B2CF9AE}" pid="4" name="ICV">
    <vt:lpwstr>CEF920A31C86478C98630BA99D6D6F5C_13</vt:lpwstr>
  </property>
</Properties>
</file>