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3C" w:rsidRDefault="00183DA8" w:rsidP="00183D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Исторический жанр на отечественной балетной сцене: метод портретной интерпретации</w:t>
      </w:r>
    </w:p>
    <w:p w:rsidR="00183DA8" w:rsidRDefault="00183DA8" w:rsidP="00183DA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Ткачева Алина Александровна</w:t>
      </w:r>
    </w:p>
    <w:p w:rsidR="00183DA8" w:rsidRDefault="00183DA8" w:rsidP="00183DA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</w:t>
      </w:r>
    </w:p>
    <w:p w:rsidR="00183DA8" w:rsidRDefault="00183DA8" w:rsidP="00183DA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3DA8">
        <w:rPr>
          <w:rFonts w:ascii="Times New Roman" w:hAnsi="Times New Roman" w:cs="Times New Roman"/>
          <w:i/>
          <w:sz w:val="24"/>
          <w:szCs w:val="24"/>
        </w:rPr>
        <w:t>Академия Русского балета имени А.Я. Вагановой</w:t>
      </w:r>
    </w:p>
    <w:p w:rsidR="00183DA8" w:rsidRDefault="00183DA8" w:rsidP="00183DA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5" w:history="1">
        <w:r w:rsidRPr="00BB2E5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tkacheva-aa@yandex.ru</w:t>
        </w:r>
      </w:hyperlink>
    </w:p>
    <w:p w:rsidR="00183DA8" w:rsidRDefault="00685890" w:rsidP="0068589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Представляемый доклад ставит перед собой це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ль освещения подхода к историческому материалу в отечественном балетном театре, ранее не становившегося предметом отдельного научного исследования. Причиной тому, на наш взгляд, выступает нестройность подхода к изучению самого исторического жанра в искусствах, не относящихся к числу традиционно его интерпретирующих (литературы, некоторых родов изобразительного искусства, кинематографа). В рамках театроведения существенна разница между драматическим и музыкальным театром, ещё же значительнее отличие театра, имеющего вербальное воплощение и такового воплощения не имеющего. К числу последних относится и интересующий нас балетный театр в его непростых взаимоотношениях с историей.</w:t>
      </w:r>
    </w:p>
    <w:p w:rsidR="00685890" w:rsidRDefault="00685890" w:rsidP="00056CF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годы литературного расцвета этого жанра в первой половине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века [</w:t>
      </w:r>
      <w:r w:rsidR="003005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]</w:t>
      </w:r>
      <w:r w:rsidR="00AD78C6">
        <w:rPr>
          <w:rFonts w:ascii="Times New Roman" w:hAnsi="Times New Roman" w:cs="Times New Roman"/>
          <w:sz w:val="24"/>
          <w:szCs w:val="24"/>
        </w:rPr>
        <w:t xml:space="preserve"> выявляется </w:t>
      </w:r>
      <w:r w:rsidR="00546955">
        <w:rPr>
          <w:rFonts w:ascii="Times New Roman" w:hAnsi="Times New Roman" w:cs="Times New Roman"/>
          <w:sz w:val="24"/>
          <w:szCs w:val="24"/>
        </w:rPr>
        <w:t xml:space="preserve">одна из важнейших его составляющих как «художественная рефлексия о легендах и мифах, складывающихся на исторической и социокультурной почве в общественном сознании» </w:t>
      </w:r>
      <w:r w:rsidR="00546955" w:rsidRPr="00546955">
        <w:rPr>
          <w:rFonts w:ascii="Times New Roman" w:hAnsi="Times New Roman" w:cs="Times New Roman"/>
          <w:sz w:val="24"/>
          <w:szCs w:val="24"/>
        </w:rPr>
        <w:t>[</w:t>
      </w:r>
      <w:r w:rsidR="00300538">
        <w:rPr>
          <w:rFonts w:ascii="Times New Roman" w:hAnsi="Times New Roman" w:cs="Times New Roman"/>
          <w:sz w:val="24"/>
          <w:szCs w:val="24"/>
        </w:rPr>
        <w:t>4</w:t>
      </w:r>
      <w:r w:rsidR="00546955" w:rsidRPr="00546955">
        <w:rPr>
          <w:rFonts w:ascii="Times New Roman" w:hAnsi="Times New Roman" w:cs="Times New Roman"/>
          <w:sz w:val="24"/>
          <w:szCs w:val="24"/>
        </w:rPr>
        <w:t>]</w:t>
      </w:r>
      <w:r w:rsidR="00546955">
        <w:rPr>
          <w:rFonts w:ascii="Times New Roman" w:hAnsi="Times New Roman" w:cs="Times New Roman"/>
          <w:sz w:val="24"/>
          <w:szCs w:val="24"/>
        </w:rPr>
        <w:t xml:space="preserve">, которая оказалась удивительно созвучна образному языку балета, для которого осмысление и интерпретация истории получила наиболее развёрнутое осуществление как диалог эпохи и отдельной личности. </w:t>
      </w:r>
      <w:r w:rsidR="00E03395">
        <w:rPr>
          <w:rFonts w:ascii="Times New Roman" w:hAnsi="Times New Roman" w:cs="Times New Roman"/>
          <w:sz w:val="24"/>
          <w:szCs w:val="24"/>
        </w:rPr>
        <w:t xml:space="preserve">Отражение этой тенденции в балетном театре последнего полувека широко представлена как всплеск интереса к созданию так называемых «балетов-биографий», создающих исторический портрет преимущественно танцевальными средствами (среди них — балеты, героями которых становятся Ахматова, Роден, Чайковский, Шанель, Анна Павлова, Ольга </w:t>
      </w:r>
      <w:proofErr w:type="spellStart"/>
      <w:r w:rsidR="00E03395">
        <w:rPr>
          <w:rFonts w:ascii="Times New Roman" w:hAnsi="Times New Roman" w:cs="Times New Roman"/>
          <w:sz w:val="24"/>
          <w:szCs w:val="24"/>
        </w:rPr>
        <w:t>Спесивцева</w:t>
      </w:r>
      <w:proofErr w:type="spellEnd"/>
      <w:r w:rsidR="00E03395">
        <w:rPr>
          <w:rFonts w:ascii="Times New Roman" w:hAnsi="Times New Roman" w:cs="Times New Roman"/>
          <w:sz w:val="24"/>
          <w:szCs w:val="24"/>
        </w:rPr>
        <w:t xml:space="preserve">, Рудольф Нуреев, Мата Хари, Ван Гог, Есенин, Модильяни, </w:t>
      </w:r>
      <w:r w:rsidR="00A63D3B">
        <w:rPr>
          <w:rFonts w:ascii="Times New Roman" w:hAnsi="Times New Roman" w:cs="Times New Roman"/>
          <w:sz w:val="24"/>
          <w:szCs w:val="24"/>
        </w:rPr>
        <w:t xml:space="preserve">Казанова, </w:t>
      </w:r>
      <w:r w:rsidR="00E03395">
        <w:rPr>
          <w:rFonts w:ascii="Times New Roman" w:hAnsi="Times New Roman" w:cs="Times New Roman"/>
          <w:sz w:val="24"/>
          <w:szCs w:val="24"/>
        </w:rPr>
        <w:t>Галилей, Мольер и др.). При этом важным аспектом спектакля выступает положение центрального образа в его неразрывной связи с эпохой, воспринимаемой зрителем через призму его визуального опыта</w:t>
      </w:r>
      <w:r w:rsidR="009B56E4">
        <w:rPr>
          <w:rFonts w:ascii="Times New Roman" w:hAnsi="Times New Roman" w:cs="Times New Roman"/>
          <w:sz w:val="24"/>
          <w:szCs w:val="24"/>
        </w:rPr>
        <w:t xml:space="preserve"> и степени ознакомления с ней (даже поверхностного) </w:t>
      </w:r>
      <w:r w:rsidR="009B56E4" w:rsidRPr="009B56E4">
        <w:rPr>
          <w:rFonts w:ascii="Times New Roman" w:hAnsi="Times New Roman" w:cs="Times New Roman"/>
          <w:sz w:val="24"/>
          <w:szCs w:val="24"/>
        </w:rPr>
        <w:t>[</w:t>
      </w:r>
      <w:r w:rsidR="00F37CC8">
        <w:rPr>
          <w:rFonts w:ascii="Times New Roman" w:hAnsi="Times New Roman" w:cs="Times New Roman"/>
          <w:sz w:val="24"/>
          <w:szCs w:val="24"/>
        </w:rPr>
        <w:t>10</w:t>
      </w:r>
      <w:r w:rsidR="009B56E4" w:rsidRPr="009B56E4">
        <w:rPr>
          <w:rFonts w:ascii="Times New Roman" w:hAnsi="Times New Roman" w:cs="Times New Roman"/>
          <w:sz w:val="24"/>
          <w:szCs w:val="24"/>
        </w:rPr>
        <w:t>]</w:t>
      </w:r>
      <w:r w:rsidR="009B56E4">
        <w:rPr>
          <w:rFonts w:ascii="Times New Roman" w:hAnsi="Times New Roman" w:cs="Times New Roman"/>
          <w:sz w:val="24"/>
          <w:szCs w:val="24"/>
        </w:rPr>
        <w:t xml:space="preserve">, а также через социальную принадлежность, зачастую не связанную с театральным исполнительством (за исключением случаев, когда балетмейстер задаётся целью интерпретировать </w:t>
      </w:r>
      <w:r w:rsidR="00056CFE">
        <w:rPr>
          <w:rFonts w:ascii="Times New Roman" w:hAnsi="Times New Roman" w:cs="Times New Roman"/>
          <w:sz w:val="24"/>
          <w:szCs w:val="24"/>
        </w:rPr>
        <w:t>образ профессионального танцовщика, как в балетных миниатюрах «</w:t>
      </w:r>
      <w:proofErr w:type="spellStart"/>
      <w:r w:rsidR="00056CFE">
        <w:rPr>
          <w:rFonts w:ascii="Times New Roman" w:hAnsi="Times New Roman" w:cs="Times New Roman"/>
          <w:sz w:val="24"/>
          <w:szCs w:val="24"/>
        </w:rPr>
        <w:t>Вестрис</w:t>
      </w:r>
      <w:proofErr w:type="spellEnd"/>
      <w:r w:rsidR="00056CFE">
        <w:rPr>
          <w:rFonts w:ascii="Times New Roman" w:hAnsi="Times New Roman" w:cs="Times New Roman"/>
          <w:sz w:val="24"/>
          <w:szCs w:val="24"/>
        </w:rPr>
        <w:t xml:space="preserve">» (1969 </w:t>
      </w:r>
      <w:r w:rsidR="00056CFE" w:rsidRPr="00056CFE">
        <w:rPr>
          <w:rFonts w:ascii="Times New Roman" w:hAnsi="Times New Roman" w:cs="Times New Roman"/>
          <w:sz w:val="24"/>
          <w:szCs w:val="24"/>
        </w:rPr>
        <w:t>[</w:t>
      </w:r>
      <w:r w:rsidR="00300538">
        <w:rPr>
          <w:rFonts w:ascii="Times New Roman" w:hAnsi="Times New Roman" w:cs="Times New Roman"/>
          <w:sz w:val="24"/>
          <w:szCs w:val="24"/>
        </w:rPr>
        <w:t>7</w:t>
      </w:r>
      <w:r w:rsidR="00056CFE" w:rsidRPr="00056CFE">
        <w:rPr>
          <w:rFonts w:ascii="Times New Roman" w:hAnsi="Times New Roman" w:cs="Times New Roman"/>
          <w:sz w:val="24"/>
          <w:szCs w:val="24"/>
        </w:rPr>
        <w:t>]</w:t>
      </w:r>
      <w:r w:rsidR="00056CFE">
        <w:rPr>
          <w:rFonts w:ascii="Times New Roman" w:hAnsi="Times New Roman" w:cs="Times New Roman"/>
          <w:sz w:val="24"/>
          <w:szCs w:val="24"/>
        </w:rPr>
        <w:t xml:space="preserve">) и «Павлова и </w:t>
      </w:r>
      <w:proofErr w:type="spellStart"/>
      <w:r w:rsidR="00056CFE">
        <w:rPr>
          <w:rFonts w:ascii="Times New Roman" w:hAnsi="Times New Roman" w:cs="Times New Roman"/>
          <w:sz w:val="24"/>
          <w:szCs w:val="24"/>
        </w:rPr>
        <w:t>Чекетти</w:t>
      </w:r>
      <w:proofErr w:type="spellEnd"/>
      <w:r w:rsidR="00056CFE">
        <w:rPr>
          <w:rFonts w:ascii="Times New Roman" w:hAnsi="Times New Roman" w:cs="Times New Roman"/>
          <w:sz w:val="24"/>
          <w:szCs w:val="24"/>
        </w:rPr>
        <w:t xml:space="preserve">» (1971), т.е. оставляющую характер пластического рисунка роли на усмотрение мастера. Тем самым создатели постановки, принимая во внимание существующий в широком сознании </w:t>
      </w:r>
      <w:r w:rsidR="00056CFE" w:rsidRPr="00056CFE">
        <w:rPr>
          <w:rFonts w:ascii="Times New Roman" w:hAnsi="Times New Roman" w:cs="Times New Roman"/>
          <w:sz w:val="24"/>
          <w:szCs w:val="24"/>
        </w:rPr>
        <w:t>[</w:t>
      </w:r>
      <w:r w:rsidR="00300538">
        <w:rPr>
          <w:rFonts w:ascii="Times New Roman" w:hAnsi="Times New Roman" w:cs="Times New Roman"/>
          <w:sz w:val="24"/>
          <w:szCs w:val="24"/>
        </w:rPr>
        <w:t>3</w:t>
      </w:r>
      <w:r w:rsidR="00056CFE" w:rsidRPr="00056CFE">
        <w:rPr>
          <w:rFonts w:ascii="Times New Roman" w:hAnsi="Times New Roman" w:cs="Times New Roman"/>
          <w:sz w:val="24"/>
          <w:szCs w:val="24"/>
        </w:rPr>
        <w:t>]</w:t>
      </w:r>
      <w:r w:rsidR="00D9609E">
        <w:rPr>
          <w:rFonts w:ascii="Times New Roman" w:hAnsi="Times New Roman" w:cs="Times New Roman"/>
          <w:sz w:val="24"/>
          <w:szCs w:val="24"/>
        </w:rPr>
        <w:t xml:space="preserve"> облик исторической эпохи, ставят перед собой задачу раскрытия исторического прошлого через сугубо индивидуальный образ, выступающий одновременно лицом своего времени и вместе с тем преодолевающий глубокий внутренний конфликт с ним, который позволяет ему проявиться как основной фигуре. Одним из наиболее ярких опытов такой интерпретации в отечественном театре стал балет «Иван Грозный» (1975), </w:t>
      </w:r>
      <w:r w:rsidR="00300538">
        <w:rPr>
          <w:rFonts w:ascii="Times New Roman" w:hAnsi="Times New Roman" w:cs="Times New Roman"/>
          <w:sz w:val="24"/>
          <w:szCs w:val="24"/>
        </w:rPr>
        <w:t xml:space="preserve">в котором «каждый образ, будучи совершенно конкретным и отнесённым к определённому времени и месту, возвышается до воплощения некой идеи вообще, приближается к символу, не теряя </w:t>
      </w:r>
      <w:r w:rsidR="00300538" w:rsidRPr="00300538">
        <w:rPr>
          <w:rFonts w:ascii="Times New Roman" w:hAnsi="Times New Roman" w:cs="Times New Roman"/>
          <w:sz w:val="24"/>
          <w:szCs w:val="24"/>
        </w:rPr>
        <w:t>&lt;</w:t>
      </w:r>
      <w:r w:rsidR="00300538">
        <w:rPr>
          <w:rFonts w:ascii="Times New Roman" w:hAnsi="Times New Roman" w:cs="Times New Roman"/>
          <w:sz w:val="24"/>
          <w:szCs w:val="24"/>
        </w:rPr>
        <w:t>…</w:t>
      </w:r>
      <w:r w:rsidR="00300538" w:rsidRPr="00300538">
        <w:rPr>
          <w:rFonts w:ascii="Times New Roman" w:hAnsi="Times New Roman" w:cs="Times New Roman"/>
          <w:sz w:val="24"/>
          <w:szCs w:val="24"/>
        </w:rPr>
        <w:t xml:space="preserve">&gt; </w:t>
      </w:r>
      <w:r w:rsidR="00A63D3B">
        <w:rPr>
          <w:rFonts w:ascii="Times New Roman" w:hAnsi="Times New Roman" w:cs="Times New Roman"/>
          <w:sz w:val="24"/>
          <w:szCs w:val="24"/>
        </w:rPr>
        <w:t xml:space="preserve">жизненной полнокровности» </w:t>
      </w:r>
      <w:r w:rsidR="00A63D3B" w:rsidRPr="00A63D3B">
        <w:rPr>
          <w:rFonts w:ascii="Times New Roman" w:hAnsi="Times New Roman" w:cs="Times New Roman"/>
          <w:sz w:val="24"/>
          <w:szCs w:val="24"/>
        </w:rPr>
        <w:t>[1]</w:t>
      </w:r>
      <w:r w:rsidR="00A63D3B">
        <w:rPr>
          <w:rFonts w:ascii="Times New Roman" w:hAnsi="Times New Roman" w:cs="Times New Roman"/>
          <w:sz w:val="24"/>
          <w:szCs w:val="24"/>
        </w:rPr>
        <w:t>,</w:t>
      </w:r>
      <w:r w:rsidR="00A63D3B" w:rsidRPr="00A63D3B">
        <w:rPr>
          <w:rFonts w:ascii="Times New Roman" w:hAnsi="Times New Roman" w:cs="Times New Roman"/>
          <w:sz w:val="24"/>
          <w:szCs w:val="24"/>
        </w:rPr>
        <w:t xml:space="preserve"> </w:t>
      </w:r>
      <w:r w:rsidR="00D9609E">
        <w:rPr>
          <w:rFonts w:ascii="Times New Roman" w:hAnsi="Times New Roman" w:cs="Times New Roman"/>
          <w:sz w:val="24"/>
          <w:szCs w:val="24"/>
        </w:rPr>
        <w:t>крайне неоднозначная оценка которого (</w:t>
      </w:r>
      <w:r w:rsidR="00300538">
        <w:rPr>
          <w:rFonts w:ascii="Times New Roman" w:hAnsi="Times New Roman" w:cs="Times New Roman"/>
          <w:sz w:val="24"/>
          <w:szCs w:val="24"/>
        </w:rPr>
        <w:t xml:space="preserve">«странное впечатление», по свидетельству В.М. Гаевского, «произвёл этот балет», «смешение трагедии и исторической мелодрамы» </w:t>
      </w:r>
      <w:r w:rsidR="00300538" w:rsidRPr="00300538">
        <w:rPr>
          <w:rFonts w:ascii="Times New Roman" w:hAnsi="Times New Roman" w:cs="Times New Roman"/>
          <w:sz w:val="24"/>
          <w:szCs w:val="24"/>
        </w:rPr>
        <w:t>[2])</w:t>
      </w:r>
      <w:r w:rsidR="00300538">
        <w:rPr>
          <w:rFonts w:ascii="Times New Roman" w:hAnsi="Times New Roman" w:cs="Times New Roman"/>
          <w:sz w:val="24"/>
          <w:szCs w:val="24"/>
        </w:rPr>
        <w:t xml:space="preserve"> свидетельствует о сильном воздействии на зрителя исторического балета, в основе которого лежит мотив биографии, фактически выступающий в противовес присутствующей в спектакле временной дистанции, как правило, снижающей эмоциональное влияние под действием устоявшихся социальных </w:t>
      </w:r>
      <w:r w:rsidR="00300538">
        <w:rPr>
          <w:rFonts w:ascii="Times New Roman" w:hAnsi="Times New Roman" w:cs="Times New Roman"/>
          <w:sz w:val="24"/>
          <w:szCs w:val="24"/>
        </w:rPr>
        <w:lastRenderedPageBreak/>
        <w:t xml:space="preserve">взглядов на тот или иной эпизод исторического прошлого и возрастающий по мере уменьшения этой дистанции. Особенно большое значение тем самым приобретает для исторического жанра именно в балетном театре личность и самого творца пластических образов, поскольку именно хореографическое решение играет решающую роль в интерпретации спектакля, создаваемой в восприятии зрителя, где отдельное движение или пауза способны повлиять на степень его воздействия [5]. </w:t>
      </w:r>
    </w:p>
    <w:p w:rsidR="00A63D3B" w:rsidRPr="00F37CC8" w:rsidRDefault="00A63D3B" w:rsidP="00056CF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 исследователя должны особенно привлекать балеты, позволяющие сравнивать подход разных балетмейстеров к воплощению на сцене исторической эпохи, в центре которой оказывается одна и та же личность. Одной из них стала фигура ещё одного русского монарха, по сей день привлекающая историков и создателей художественных произведений своей неоднозначностью — Павел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Его личность оказалась смысловым центром трёх балетов, принадлежащих к разным эпохам, использующим разные методы постановки и преследующим разные цели в интерпретации исторического прошлого: к числу этих балетов относятся «Из Сибири в Москву» (А.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Бурнонвиль</w:t>
      </w:r>
      <w:proofErr w:type="spellEnd"/>
      <w:r>
        <w:rPr>
          <w:rFonts w:ascii="Times New Roman" w:hAnsi="Times New Roman" w:cs="Times New Roman"/>
          <w:sz w:val="24"/>
          <w:szCs w:val="24"/>
        </w:rPr>
        <w:t>, 1876), «Подпоручик Киже» (</w:t>
      </w:r>
      <w:r w:rsidR="00F37CC8">
        <w:rPr>
          <w:rFonts w:ascii="Times New Roman" w:hAnsi="Times New Roman" w:cs="Times New Roman"/>
          <w:sz w:val="24"/>
          <w:szCs w:val="24"/>
        </w:rPr>
        <w:t xml:space="preserve">О. Тарасова и А. </w:t>
      </w:r>
      <w:proofErr w:type="spellStart"/>
      <w:r w:rsidR="00F37CC8">
        <w:rPr>
          <w:rFonts w:ascii="Times New Roman" w:hAnsi="Times New Roman" w:cs="Times New Roman"/>
          <w:sz w:val="24"/>
          <w:szCs w:val="24"/>
        </w:rPr>
        <w:t>Лапаури</w:t>
      </w:r>
      <w:proofErr w:type="spellEnd"/>
      <w:r w:rsidR="00F37CC8">
        <w:rPr>
          <w:rFonts w:ascii="Times New Roman" w:hAnsi="Times New Roman" w:cs="Times New Roman"/>
          <w:sz w:val="24"/>
          <w:szCs w:val="24"/>
        </w:rPr>
        <w:t xml:space="preserve">, 1963 </w:t>
      </w:r>
      <w:r w:rsidR="00F37CC8" w:rsidRPr="00F37CC8">
        <w:rPr>
          <w:rFonts w:ascii="Times New Roman" w:hAnsi="Times New Roman" w:cs="Times New Roman"/>
          <w:sz w:val="24"/>
          <w:szCs w:val="24"/>
        </w:rPr>
        <w:t>[8]</w:t>
      </w:r>
      <w:r w:rsidR="00F37CC8">
        <w:rPr>
          <w:rFonts w:ascii="Times New Roman" w:hAnsi="Times New Roman" w:cs="Times New Roman"/>
          <w:sz w:val="24"/>
          <w:szCs w:val="24"/>
        </w:rPr>
        <w:t xml:space="preserve">) и «Русский Гамлет» (Б. Эйфман, 1999 – 2017 </w:t>
      </w:r>
      <w:r w:rsidR="00F37CC8" w:rsidRPr="00F37CC8">
        <w:rPr>
          <w:rFonts w:ascii="Times New Roman" w:hAnsi="Times New Roman" w:cs="Times New Roman"/>
          <w:sz w:val="24"/>
          <w:szCs w:val="24"/>
        </w:rPr>
        <w:t>[</w:t>
      </w:r>
      <w:r w:rsidR="00F37CC8">
        <w:rPr>
          <w:rFonts w:ascii="Times New Roman" w:hAnsi="Times New Roman" w:cs="Times New Roman"/>
          <w:sz w:val="24"/>
          <w:szCs w:val="24"/>
        </w:rPr>
        <w:t>9</w:t>
      </w:r>
      <w:r w:rsidR="00F37CC8" w:rsidRPr="00F37CC8">
        <w:rPr>
          <w:rFonts w:ascii="Times New Roman" w:hAnsi="Times New Roman" w:cs="Times New Roman"/>
          <w:sz w:val="24"/>
          <w:szCs w:val="24"/>
        </w:rPr>
        <w:t>]</w:t>
      </w:r>
      <w:r w:rsidR="00F37CC8">
        <w:rPr>
          <w:rFonts w:ascii="Times New Roman" w:hAnsi="Times New Roman" w:cs="Times New Roman"/>
          <w:sz w:val="24"/>
          <w:szCs w:val="24"/>
        </w:rPr>
        <w:t>), сравнительному анализу которых посвящена заключительная часть доклада.</w:t>
      </w:r>
    </w:p>
    <w:p w:rsidR="00685890" w:rsidRDefault="00685890" w:rsidP="0068589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685890" w:rsidRDefault="00685890" w:rsidP="0068589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685890" w:rsidRDefault="00685890" w:rsidP="006858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89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46955" w:rsidRDefault="00546955" w:rsidP="00546955">
      <w:pPr>
        <w:pStyle w:val="a4"/>
        <w:numPr>
          <w:ilvl w:val="0"/>
          <w:numId w:val="1"/>
        </w:numPr>
        <w:tabs>
          <w:tab w:val="left" w:pos="5245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6955">
        <w:rPr>
          <w:rFonts w:ascii="Times New Roman" w:hAnsi="Times New Roman" w:cs="Times New Roman"/>
          <w:sz w:val="24"/>
          <w:szCs w:val="24"/>
        </w:rPr>
        <w:t>Ванслов</w:t>
      </w:r>
      <w:proofErr w:type="spellEnd"/>
      <w:r w:rsidRPr="00546955">
        <w:rPr>
          <w:rFonts w:ascii="Times New Roman" w:hAnsi="Times New Roman" w:cs="Times New Roman"/>
          <w:sz w:val="24"/>
          <w:szCs w:val="24"/>
        </w:rPr>
        <w:t xml:space="preserve"> В.В. Статьи о балете. Музыкально-эстетические проблемы балета. — Л.: Музыка, 1980.</w:t>
      </w:r>
    </w:p>
    <w:p w:rsidR="00300538" w:rsidRPr="00546955" w:rsidRDefault="00300538" w:rsidP="00546955">
      <w:pPr>
        <w:pStyle w:val="a4"/>
        <w:numPr>
          <w:ilvl w:val="0"/>
          <w:numId w:val="1"/>
        </w:numPr>
        <w:tabs>
          <w:tab w:val="left" w:pos="5245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Гаевский В.М. Дивертисмент. Судьбы классического балета. — М.: Искусство, 1981.</w:t>
      </w:r>
    </w:p>
    <w:p w:rsidR="00546955" w:rsidRPr="00546955" w:rsidRDefault="00546955" w:rsidP="00546955">
      <w:pPr>
        <w:pStyle w:val="a4"/>
        <w:numPr>
          <w:ilvl w:val="0"/>
          <w:numId w:val="1"/>
        </w:numPr>
        <w:tabs>
          <w:tab w:val="left" w:pos="5245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6955">
        <w:rPr>
          <w:rFonts w:ascii="Times New Roman" w:hAnsi="Times New Roman" w:cs="Times New Roman"/>
          <w:sz w:val="24"/>
          <w:szCs w:val="24"/>
        </w:rPr>
        <w:t>Левкиевская</w:t>
      </w:r>
      <w:proofErr w:type="spellEnd"/>
      <w:r w:rsidRPr="00546955">
        <w:rPr>
          <w:rFonts w:ascii="Times New Roman" w:hAnsi="Times New Roman" w:cs="Times New Roman"/>
          <w:sz w:val="24"/>
          <w:szCs w:val="24"/>
        </w:rPr>
        <w:t xml:space="preserve"> Е.Е. Русская идея в контексте исторических мифологических моделей и механизмы их образования // Современная российская мифология. — М.: РГГУ, 2005. — с. 175 – 206.</w:t>
      </w:r>
    </w:p>
    <w:p w:rsidR="00546955" w:rsidRPr="00546955" w:rsidRDefault="00546955" w:rsidP="00546955">
      <w:pPr>
        <w:pStyle w:val="a4"/>
        <w:numPr>
          <w:ilvl w:val="0"/>
          <w:numId w:val="1"/>
        </w:numPr>
        <w:tabs>
          <w:tab w:val="left" w:pos="5245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6955">
        <w:rPr>
          <w:rFonts w:ascii="Times New Roman" w:hAnsi="Times New Roman" w:cs="Times New Roman"/>
          <w:sz w:val="24"/>
          <w:szCs w:val="24"/>
        </w:rPr>
        <w:t xml:space="preserve">Литвиненко Н.А. Французский исторический роман 1840 – 1850-х гг.: поэтика жанра. — М.: </w:t>
      </w:r>
      <w:proofErr w:type="spellStart"/>
      <w:r w:rsidRPr="00546955">
        <w:rPr>
          <w:rFonts w:ascii="Times New Roman" w:hAnsi="Times New Roman" w:cs="Times New Roman"/>
          <w:sz w:val="24"/>
          <w:szCs w:val="24"/>
        </w:rPr>
        <w:t>Экон-Информ</w:t>
      </w:r>
      <w:proofErr w:type="spellEnd"/>
      <w:r w:rsidRPr="00546955">
        <w:rPr>
          <w:rFonts w:ascii="Times New Roman" w:hAnsi="Times New Roman" w:cs="Times New Roman"/>
          <w:sz w:val="24"/>
          <w:szCs w:val="24"/>
        </w:rPr>
        <w:t>, 2009.</w:t>
      </w:r>
    </w:p>
    <w:p w:rsidR="00546955" w:rsidRPr="00546955" w:rsidRDefault="00546955" w:rsidP="00546955">
      <w:pPr>
        <w:pStyle w:val="a4"/>
        <w:numPr>
          <w:ilvl w:val="0"/>
          <w:numId w:val="1"/>
        </w:numPr>
        <w:tabs>
          <w:tab w:val="left" w:pos="5245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6955">
        <w:rPr>
          <w:rFonts w:ascii="Times New Roman" w:hAnsi="Times New Roman" w:cs="Times New Roman"/>
          <w:sz w:val="24"/>
          <w:szCs w:val="24"/>
        </w:rPr>
        <w:t>Лопухов, Ф.В. Хореогра</w:t>
      </w:r>
      <w:r w:rsidRPr="00546955">
        <w:rPr>
          <w:rFonts w:ascii="Times New Roman" w:hAnsi="Times New Roman" w:cs="Times New Roman"/>
          <w:sz w:val="24"/>
          <w:szCs w:val="24"/>
        </w:rPr>
        <w:t>фические откровенности. — М.: Искусство, 1972.</w:t>
      </w:r>
    </w:p>
    <w:p w:rsidR="00546955" w:rsidRDefault="00546955" w:rsidP="00AD78C6">
      <w:pPr>
        <w:pStyle w:val="a4"/>
        <w:numPr>
          <w:ilvl w:val="0"/>
          <w:numId w:val="1"/>
        </w:numPr>
        <w:tabs>
          <w:tab w:val="left" w:pos="5245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5890">
        <w:rPr>
          <w:rFonts w:ascii="Times New Roman" w:hAnsi="Times New Roman" w:cs="Times New Roman"/>
          <w:sz w:val="24"/>
          <w:szCs w:val="24"/>
        </w:rPr>
        <w:t>Реизов</w:t>
      </w:r>
      <w:proofErr w:type="spellEnd"/>
      <w:r w:rsidRPr="00685890">
        <w:rPr>
          <w:rFonts w:ascii="Times New Roman" w:hAnsi="Times New Roman" w:cs="Times New Roman"/>
          <w:sz w:val="24"/>
          <w:szCs w:val="24"/>
        </w:rPr>
        <w:t>, Б.Г</w:t>
      </w:r>
      <w:r w:rsidRPr="0068589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85890">
        <w:rPr>
          <w:rFonts w:ascii="Times New Roman" w:hAnsi="Times New Roman" w:cs="Times New Roman"/>
          <w:sz w:val="24"/>
          <w:szCs w:val="24"/>
        </w:rPr>
        <w:t>Французский исторический роман в эпоху романтизма. — Л</w:t>
      </w:r>
      <w:r w:rsidRPr="00685890">
        <w:rPr>
          <w:rFonts w:ascii="Times New Roman" w:hAnsi="Times New Roman" w:cs="Times New Roman"/>
          <w:sz w:val="24"/>
          <w:szCs w:val="24"/>
        </w:rPr>
        <w:t>.</w:t>
      </w:r>
      <w:r w:rsidRPr="00685890">
        <w:rPr>
          <w:rFonts w:ascii="Times New Roman" w:hAnsi="Times New Roman" w:cs="Times New Roman"/>
          <w:sz w:val="24"/>
          <w:szCs w:val="24"/>
        </w:rPr>
        <w:t xml:space="preserve">: </w:t>
      </w:r>
      <w:r w:rsidRPr="00AD78C6">
        <w:rPr>
          <w:rFonts w:ascii="Times New Roman" w:hAnsi="Times New Roman" w:cs="Times New Roman"/>
          <w:sz w:val="24"/>
          <w:szCs w:val="24"/>
        </w:rPr>
        <w:t>Государственное издательство х</w:t>
      </w:r>
      <w:r w:rsidR="00056CFE">
        <w:rPr>
          <w:rFonts w:ascii="Times New Roman" w:hAnsi="Times New Roman" w:cs="Times New Roman"/>
          <w:sz w:val="24"/>
          <w:szCs w:val="24"/>
        </w:rPr>
        <w:t>удожественной литературы, 1958.</w:t>
      </w:r>
    </w:p>
    <w:p w:rsidR="00056CFE" w:rsidRDefault="00056CFE" w:rsidP="00AD78C6">
      <w:pPr>
        <w:pStyle w:val="a4"/>
        <w:numPr>
          <w:ilvl w:val="0"/>
          <w:numId w:val="1"/>
        </w:numPr>
        <w:tabs>
          <w:tab w:val="left" w:pos="5245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6CFE">
        <w:rPr>
          <w:rFonts w:ascii="Times New Roman" w:hAnsi="Times New Roman" w:cs="Times New Roman"/>
          <w:sz w:val="24"/>
          <w:szCs w:val="24"/>
        </w:rPr>
        <w:t>Росс, Дж. Эффект разорвавшейся бомбы: Леонид Якобсон и советский балет как фор</w:t>
      </w:r>
      <w:r w:rsidRPr="00056CFE">
        <w:rPr>
          <w:rFonts w:ascii="Times New Roman" w:hAnsi="Times New Roman" w:cs="Times New Roman"/>
          <w:sz w:val="24"/>
          <w:szCs w:val="24"/>
        </w:rPr>
        <w:t xml:space="preserve">ма сопротивления / </w:t>
      </w:r>
      <w:r w:rsidRPr="00056CFE">
        <w:rPr>
          <w:rFonts w:ascii="Times New Roman" w:hAnsi="Times New Roman" w:cs="Times New Roman"/>
          <w:sz w:val="24"/>
          <w:szCs w:val="24"/>
        </w:rPr>
        <w:t xml:space="preserve">пер. с англ. А. </w:t>
      </w:r>
      <w:proofErr w:type="spellStart"/>
      <w:r w:rsidRPr="00056CFE">
        <w:rPr>
          <w:rFonts w:ascii="Times New Roman" w:hAnsi="Times New Roman" w:cs="Times New Roman"/>
          <w:sz w:val="24"/>
          <w:szCs w:val="24"/>
        </w:rPr>
        <w:t>Ландиховой</w:t>
      </w:r>
      <w:proofErr w:type="spellEnd"/>
      <w:r w:rsidRPr="00056CFE">
        <w:rPr>
          <w:rFonts w:ascii="Times New Roman" w:hAnsi="Times New Roman" w:cs="Times New Roman"/>
          <w:sz w:val="24"/>
          <w:szCs w:val="24"/>
        </w:rPr>
        <w:t xml:space="preserve">, К. Фролова. — </w:t>
      </w:r>
      <w:proofErr w:type="gramStart"/>
      <w:r w:rsidRPr="00056CFE">
        <w:rPr>
          <w:rFonts w:ascii="Times New Roman" w:hAnsi="Times New Roman" w:cs="Times New Roman"/>
          <w:sz w:val="24"/>
          <w:szCs w:val="24"/>
        </w:rPr>
        <w:t>СПб.</w:t>
      </w:r>
      <w:r w:rsidRPr="00056CF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56CFE">
        <w:rPr>
          <w:rFonts w:ascii="Times New Roman" w:hAnsi="Times New Roman" w:cs="Times New Roman"/>
          <w:sz w:val="24"/>
          <w:szCs w:val="24"/>
        </w:rPr>
        <w:t xml:space="preserve"> </w:t>
      </w:r>
      <w:r w:rsidRPr="00056CFE"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Pr="00056CFE">
        <w:rPr>
          <w:rFonts w:ascii="Times New Roman" w:hAnsi="Times New Roman" w:cs="Times New Roman"/>
          <w:sz w:val="24"/>
          <w:szCs w:val="24"/>
        </w:rPr>
        <w:t xml:space="preserve"> </w:t>
      </w:r>
      <w:r w:rsidRPr="00056CFE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Pr="00056CFE">
        <w:rPr>
          <w:rFonts w:ascii="Times New Roman" w:hAnsi="Times New Roman" w:cs="Times New Roman"/>
          <w:sz w:val="24"/>
          <w:szCs w:val="24"/>
        </w:rPr>
        <w:t xml:space="preserve"> </w:t>
      </w:r>
      <w:r w:rsidRPr="00056CFE">
        <w:rPr>
          <w:rFonts w:ascii="Times New Roman" w:hAnsi="Times New Roman" w:cs="Times New Roman"/>
          <w:sz w:val="24"/>
          <w:szCs w:val="24"/>
          <w:lang w:val="en-US"/>
        </w:rPr>
        <w:t>Press</w:t>
      </w:r>
      <w:r w:rsidRPr="00056CF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56CFE">
        <w:rPr>
          <w:rFonts w:ascii="Times New Roman" w:hAnsi="Times New Roman" w:cs="Times New Roman"/>
          <w:sz w:val="24"/>
          <w:szCs w:val="24"/>
        </w:rPr>
        <w:t>Библиороссика</w:t>
      </w:r>
      <w:proofErr w:type="spellEnd"/>
      <w:r w:rsidRPr="00056CFE">
        <w:rPr>
          <w:rFonts w:ascii="Times New Roman" w:hAnsi="Times New Roman" w:cs="Times New Roman"/>
          <w:sz w:val="24"/>
          <w:szCs w:val="24"/>
        </w:rPr>
        <w:t>, 2024.</w:t>
      </w:r>
    </w:p>
    <w:p w:rsidR="00F37CC8" w:rsidRPr="00056CFE" w:rsidRDefault="00F37CC8" w:rsidP="00AD78C6">
      <w:pPr>
        <w:pStyle w:val="a4"/>
        <w:numPr>
          <w:ilvl w:val="0"/>
          <w:numId w:val="1"/>
        </w:numPr>
        <w:tabs>
          <w:tab w:val="left" w:pos="5245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Тейдер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Александр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Лапаури</w:t>
      </w:r>
      <w:proofErr w:type="spellEnd"/>
      <w:r>
        <w:rPr>
          <w:rFonts w:ascii="Times New Roman" w:hAnsi="Times New Roman" w:cs="Times New Roman"/>
          <w:sz w:val="24"/>
          <w:szCs w:val="24"/>
        </w:rPr>
        <w:t>. — М.: Искусство, 1980. — (Солисты балета).</w:t>
      </w:r>
    </w:p>
    <w:p w:rsidR="00546955" w:rsidRPr="00546955" w:rsidRDefault="00546955" w:rsidP="00546955">
      <w:pPr>
        <w:pStyle w:val="a4"/>
        <w:numPr>
          <w:ilvl w:val="0"/>
          <w:numId w:val="1"/>
        </w:numPr>
        <w:tabs>
          <w:tab w:val="left" w:pos="5245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6955">
        <w:rPr>
          <w:rFonts w:ascii="Times New Roman" w:hAnsi="Times New Roman" w:cs="Times New Roman"/>
          <w:sz w:val="24"/>
          <w:szCs w:val="24"/>
        </w:rPr>
        <w:t>Чурко</w:t>
      </w:r>
      <w:proofErr w:type="spellEnd"/>
      <w:r w:rsidRPr="00546955">
        <w:rPr>
          <w:rFonts w:ascii="Times New Roman" w:hAnsi="Times New Roman" w:cs="Times New Roman"/>
          <w:sz w:val="24"/>
          <w:szCs w:val="24"/>
        </w:rPr>
        <w:t>, Ю.М. Линия, уходящая в бесконечность: Субъективные заметки о современной хореографии. — Минск: Полымя, 1999.</w:t>
      </w:r>
    </w:p>
    <w:p w:rsidR="00546955" w:rsidRPr="00546955" w:rsidRDefault="00546955" w:rsidP="00546955">
      <w:pPr>
        <w:pStyle w:val="a4"/>
        <w:numPr>
          <w:ilvl w:val="0"/>
          <w:numId w:val="1"/>
        </w:numPr>
        <w:tabs>
          <w:tab w:val="left" w:pos="5245"/>
        </w:tabs>
        <w:spacing w:before="100" w:beforeAutospacing="1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6955">
        <w:rPr>
          <w:rFonts w:ascii="Times New Roman" w:hAnsi="Times New Roman" w:cs="Times New Roman"/>
          <w:sz w:val="24"/>
          <w:szCs w:val="24"/>
        </w:rPr>
        <w:t>Юсупова, Г.М. «С большим материальным и художественным успехом…»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46955">
        <w:rPr>
          <w:rFonts w:ascii="Times New Roman" w:hAnsi="Times New Roman" w:cs="Times New Roman"/>
          <w:sz w:val="24"/>
          <w:szCs w:val="24"/>
        </w:rPr>
        <w:t xml:space="preserve"> Кассовые феномены популярного искусства </w:t>
      </w:r>
      <w:r w:rsidRPr="00546955">
        <w:rPr>
          <w:rFonts w:ascii="Times New Roman" w:hAnsi="Times New Roman" w:cs="Times New Roman"/>
          <w:sz w:val="24"/>
          <w:szCs w:val="24"/>
        </w:rPr>
        <w:t xml:space="preserve">1920-х годов: Кино. Литература. </w:t>
      </w:r>
      <w:r w:rsidRPr="00546955">
        <w:rPr>
          <w:rFonts w:ascii="Times New Roman" w:hAnsi="Times New Roman" w:cs="Times New Roman"/>
          <w:sz w:val="24"/>
          <w:szCs w:val="24"/>
        </w:rPr>
        <w:t>Теат</w:t>
      </w:r>
      <w:r w:rsidRPr="00546955">
        <w:rPr>
          <w:rFonts w:ascii="Times New Roman" w:hAnsi="Times New Roman" w:cs="Times New Roman"/>
          <w:sz w:val="24"/>
          <w:szCs w:val="24"/>
        </w:rPr>
        <w:t>р. ― М.: ГИИ, 2016.</w:t>
      </w:r>
    </w:p>
    <w:p w:rsidR="00685890" w:rsidRPr="00685890" w:rsidRDefault="00685890" w:rsidP="006858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DA8" w:rsidRPr="00685890" w:rsidRDefault="00183DA8" w:rsidP="00183DA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83DA8" w:rsidRPr="00685890" w:rsidSect="00183DA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E4329"/>
    <w:multiLevelType w:val="hybridMultilevel"/>
    <w:tmpl w:val="A1FE219C"/>
    <w:lvl w:ilvl="0" w:tplc="E2764C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959E5"/>
    <w:multiLevelType w:val="hybridMultilevel"/>
    <w:tmpl w:val="E7C6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A8"/>
    <w:rsid w:val="00056CFE"/>
    <w:rsid w:val="00183DA8"/>
    <w:rsid w:val="00300538"/>
    <w:rsid w:val="00546955"/>
    <w:rsid w:val="00685890"/>
    <w:rsid w:val="009B56E4"/>
    <w:rsid w:val="00A63D3B"/>
    <w:rsid w:val="00AD78C6"/>
    <w:rsid w:val="00AF323F"/>
    <w:rsid w:val="00D9609E"/>
    <w:rsid w:val="00E03395"/>
    <w:rsid w:val="00F37CC8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3ACF6-6F86-4BC0-8C4F-BE01A4A7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DA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85890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AD78C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AD78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kacheva-a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2026-03-02T11:09:00Z</dcterms:created>
  <dcterms:modified xsi:type="dcterms:W3CDTF">2026-03-02T14:37:00Z</dcterms:modified>
</cp:coreProperties>
</file>