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79EA" w14:textId="77777777" w:rsidR="001B63CB" w:rsidRPr="000B51B2" w:rsidRDefault="001B63CB" w:rsidP="00233C98">
      <w:pPr>
        <w:spacing w:line="240" w:lineRule="exact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  <w14:ligatures w14:val="standardContextual"/>
        </w:rPr>
      </w:pPr>
      <w:r w:rsidRPr="000B51B2">
        <w:rPr>
          <w:rFonts w:ascii="Times New Roman" w:hAnsi="Times New Roman" w:cs="Times New Roman"/>
          <w:b/>
          <w:bCs/>
          <w:sz w:val="24"/>
          <w:szCs w:val="24"/>
          <w:lang w:val="ru-RU"/>
          <w14:ligatures w14:val="standardContextual"/>
        </w:rPr>
        <w:t>ВЛИЯНИЕ РУССКОЙ ФОРТЕПИАННОЙ ШКОЛЫ НА КИТАЙСКОЕ ФОРТЕПИАННОЕ ИСКУССТВО (1949–1966)</w:t>
      </w:r>
    </w:p>
    <w:p w14:paraId="0070F599" w14:textId="77777777" w:rsidR="00910847" w:rsidRPr="000B51B2" w:rsidRDefault="00910847" w:rsidP="00233C98">
      <w:pPr>
        <w:spacing w:line="240" w:lineRule="exact"/>
        <w:ind w:firstLine="397"/>
        <w:jc w:val="center"/>
        <w:rPr>
          <w:rFonts w:ascii="Times New Roman" w:hAnsi="Times New Roman" w:cs="Times New Roman"/>
          <w:b/>
          <w:bCs/>
          <w:sz w:val="24"/>
          <w:szCs w:val="28"/>
          <w:lang w:val="ru-RU"/>
          <w14:ligatures w14:val="standardContextual"/>
        </w:rPr>
      </w:pPr>
    </w:p>
    <w:p w14:paraId="5E498F20" w14:textId="1D8972AE" w:rsidR="007973F4" w:rsidRPr="000B51B2" w:rsidRDefault="0077362A" w:rsidP="00233C98">
      <w:pPr>
        <w:spacing w:line="240" w:lineRule="exact"/>
        <w:ind w:firstLine="397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  <w14:ligatures w14:val="standardContextual"/>
        </w:rPr>
      </w:pPr>
      <w:r w:rsidRPr="000B51B2">
        <w:rPr>
          <w:rFonts w:ascii="Times New Roman" w:hAnsi="Times New Roman" w:cs="Times New Roman"/>
          <w:b/>
          <w:bCs/>
          <w:i/>
          <w:sz w:val="24"/>
          <w:szCs w:val="24"/>
          <w:lang w:val="ru-RU"/>
          <w14:ligatures w14:val="standardContextual"/>
        </w:rPr>
        <w:t>Чжан Юйюе</w:t>
      </w:r>
    </w:p>
    <w:p w14:paraId="56CFBE2E" w14:textId="77777777" w:rsidR="0054690E" w:rsidRPr="000B51B2" w:rsidRDefault="007973F4" w:rsidP="00233C98">
      <w:pPr>
        <w:spacing w:line="240" w:lineRule="exact"/>
        <w:ind w:firstLine="397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  <w14:ligatures w14:val="standardContextual"/>
        </w:rPr>
      </w:pPr>
      <w:r w:rsidRPr="000B51B2">
        <w:rPr>
          <w:rFonts w:ascii="Times New Roman" w:hAnsi="Times New Roman" w:cs="Times New Roman"/>
          <w:b/>
          <w:bCs/>
          <w:i/>
          <w:sz w:val="24"/>
          <w:szCs w:val="24"/>
          <w:lang w:val="ru-RU"/>
          <w14:ligatures w14:val="standardContextual"/>
        </w:rPr>
        <w:t>Студент (магистр)</w:t>
      </w:r>
    </w:p>
    <w:p w14:paraId="10291753" w14:textId="154A19E2" w:rsidR="0054690E" w:rsidRPr="000B51B2" w:rsidRDefault="0054690E" w:rsidP="00233C98">
      <w:pPr>
        <w:spacing w:line="240" w:lineRule="exact"/>
        <w:ind w:firstLine="397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0B51B2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Pr="000B51B2">
        <w:rPr>
          <w:rFonts w:ascii="Times New Roman" w:hAnsi="Times New Roman" w:cs="Times New Roman"/>
          <w:i/>
          <w:sz w:val="24"/>
          <w:lang w:val="ru-RU"/>
        </w:rPr>
        <w:t>Кафедра театрального искусства</w:t>
      </w:r>
    </w:p>
    <w:p w14:paraId="137075F0" w14:textId="77777777" w:rsidR="0054690E" w:rsidRPr="000B51B2" w:rsidRDefault="0054690E" w:rsidP="00233C98">
      <w:pPr>
        <w:spacing w:line="240" w:lineRule="exact"/>
        <w:ind w:firstLine="397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0B51B2">
        <w:rPr>
          <w:rFonts w:ascii="Times New Roman" w:hAnsi="Times New Roman" w:cs="Times New Roman"/>
          <w:i/>
          <w:sz w:val="24"/>
          <w:lang w:val="ru-RU"/>
        </w:rPr>
        <w:t>Факультет искусств МГУ имени М.В. Ломоносова</w:t>
      </w:r>
    </w:p>
    <w:p w14:paraId="5C694729" w14:textId="77777777" w:rsidR="0054690E" w:rsidRPr="000B51B2" w:rsidRDefault="0054690E" w:rsidP="00233C98">
      <w:pPr>
        <w:spacing w:line="240" w:lineRule="exact"/>
        <w:ind w:firstLine="397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0B51B2">
        <w:rPr>
          <w:rFonts w:ascii="Times New Roman" w:hAnsi="Times New Roman" w:cs="Times New Roman"/>
          <w:i/>
          <w:sz w:val="24"/>
          <w:lang w:val="ru-RU"/>
        </w:rPr>
        <w:t>Москва, Россия</w:t>
      </w:r>
    </w:p>
    <w:p w14:paraId="5F5321D9" w14:textId="46DD099B" w:rsidR="007973F4" w:rsidRPr="000B51B2" w:rsidRDefault="007973F4" w:rsidP="00233C98">
      <w:pPr>
        <w:spacing w:line="240" w:lineRule="exact"/>
        <w:ind w:firstLine="397"/>
        <w:jc w:val="center"/>
        <w:rPr>
          <w:rFonts w:ascii="Times New Roman" w:hAnsi="Times New Roman" w:cs="Times New Roman"/>
          <w:i/>
          <w:sz w:val="24"/>
          <w:szCs w:val="24"/>
          <w:lang w:val="it-IT"/>
          <w14:ligatures w14:val="standardContextual"/>
        </w:rPr>
      </w:pPr>
      <w:r w:rsidRPr="000B51B2">
        <w:rPr>
          <w:rFonts w:ascii="Times New Roman" w:hAnsi="Times New Roman" w:cs="Times New Roman"/>
          <w:i/>
          <w:sz w:val="24"/>
          <w:szCs w:val="24"/>
          <w:lang w:val="it-IT"/>
          <w14:ligatures w14:val="standardContextual"/>
        </w:rPr>
        <w:t xml:space="preserve">E-mail: </w:t>
      </w:r>
      <w:hyperlink r:id="rId8" w:history="1">
        <w:r w:rsidR="0054690E" w:rsidRPr="000B51B2">
          <w:rPr>
            <w:rStyle w:val="ae"/>
            <w:rFonts w:ascii="Times New Roman" w:hAnsi="Times New Roman" w:cs="Times New Roman"/>
            <w:i/>
            <w:sz w:val="24"/>
            <w:szCs w:val="24"/>
            <w:lang w:val="it-IT"/>
            <w14:ligatures w14:val="standardContextual"/>
          </w:rPr>
          <w:t>1033500684@qq.com</w:t>
        </w:r>
      </w:hyperlink>
    </w:p>
    <w:p w14:paraId="478B3B8D" w14:textId="77777777" w:rsidR="0054690E" w:rsidRPr="000B51B2" w:rsidRDefault="0054690E" w:rsidP="00233C98">
      <w:pPr>
        <w:spacing w:line="240" w:lineRule="exact"/>
        <w:ind w:firstLine="397"/>
        <w:jc w:val="center"/>
        <w:rPr>
          <w:rFonts w:ascii="Times New Roman" w:hAnsi="Times New Roman" w:cs="Times New Roman"/>
          <w:i/>
          <w:sz w:val="24"/>
          <w:szCs w:val="24"/>
          <w:lang w:val="ru-RU"/>
          <w14:ligatures w14:val="standardContextual"/>
        </w:rPr>
      </w:pPr>
    </w:p>
    <w:p w14:paraId="73B3CD06" w14:textId="77777777" w:rsidR="00D4070D" w:rsidRPr="00D4070D" w:rsidRDefault="00D4070D" w:rsidP="00D4070D">
      <w:pPr>
        <w:tabs>
          <w:tab w:val="left" w:pos="3564"/>
        </w:tabs>
        <w:spacing w:line="240" w:lineRule="exact"/>
        <w:ind w:firstLine="397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В истории китайского музыкального образования середина </w:t>
      </w:r>
      <w:r w:rsidRPr="00D4070D">
        <w:rPr>
          <w:rFonts w:ascii="Times New Roman" w:eastAsia="宋体" w:hAnsi="Times New Roman" w:cs="Times New Roman"/>
          <w:sz w:val="24"/>
          <w:szCs w:val="24"/>
        </w:rPr>
        <w:t>XX</w:t>
      </w:r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века занимает особое место. Именно в этот период формируется профессиональная система фортепианного обучения, а вместе с ней — новые представления о технике, репертуаре и задачах исполнительского искусства. В этой связи закономерно возникает вопрос: в чём именно состояло влияние русской фортепианной школы на китайское фортепианное искусство в 1949–1966 гг.? Речь идёт не только о заимствовании отдельных педагогических приёмов, но и о более глубоком процессе формирования новой образовательной и исполнительской модели.</w:t>
      </w:r>
    </w:p>
    <w:p w14:paraId="53CD4BD3" w14:textId="77777777" w:rsidR="00D4070D" w:rsidRPr="00D4070D" w:rsidRDefault="00D4070D" w:rsidP="00D4070D">
      <w:pPr>
        <w:tabs>
          <w:tab w:val="left" w:pos="3564"/>
        </w:tabs>
        <w:spacing w:line="240" w:lineRule="exact"/>
        <w:ind w:firstLine="397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t>Следует отметить, что знакомство Китая с русской фортепианной традицией началось ещё в 1920–1930-е годы [1; 3]. Однако именно после 1949 года это влияние приобрело системный характер. В условиях советско-китайского культурного сотрудничества в Китае была развёрнута масштабная работа по подготовке музыкальных кадров. В 1954–1961 годах в Центральной и Шанхайской консерваториях работали советские педагоги Д. Серов, А. Татулян и Т. Кравченко [4]. Одновременно китайские студенты обучались в Московской и Ленинградской консерваториях [6]. Тем самым сложились два взаимосвязанных канала передачи русской пианистической традиции: преподавание советских специалистов в Китае и профессиональная подготовка китайских музыкантов в СССР.</w:t>
      </w:r>
    </w:p>
    <w:p w14:paraId="05E2C62E" w14:textId="77777777" w:rsidR="00D4070D" w:rsidRPr="00D4070D" w:rsidRDefault="00D4070D" w:rsidP="00D4070D">
      <w:pPr>
        <w:tabs>
          <w:tab w:val="left" w:pos="3564"/>
        </w:tabs>
        <w:spacing w:line="240" w:lineRule="exact"/>
        <w:ind w:firstLine="397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t>Первый уровень этого влияния связан с исполнительской и педагогической техникой. Так, Д. Серов вводил принцип «опоры на вес руки», который существенно отличался от более ранней установки на преимущественно пальцевую технику [4; 6]. Важным было не просто освоение нового технического приёма, а изменение самого подхода к звукоизвлечению и пианистической свободе. А. Татулян принимал участие в упорядочении профессиональной подготовки: с его именем связано создание кафедры фортепиано в Центральной консерватории, а также систематизация экзаменационных требований и технических зачётов [4; 6]. Т. Кравченко, в свою очередь, оставила методические материалы, получившие дальнейшее распространение в китайской педагогической среде [4; 5]. Иными словами, русская школа воздействовала не только на индивидуальную игру пианиста, но и на саму организацию обучения.</w:t>
      </w:r>
    </w:p>
    <w:p w14:paraId="67D99518" w14:textId="77777777" w:rsidR="00D4070D" w:rsidRPr="00D4070D" w:rsidRDefault="00D4070D" w:rsidP="00D4070D">
      <w:pPr>
        <w:tabs>
          <w:tab w:val="left" w:pos="3564"/>
        </w:tabs>
        <w:spacing w:line="240" w:lineRule="exact"/>
        <w:ind w:firstLine="397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t>Второй уровень влияния относится к репертуару и художественному мышлению. Благодаря советским педагогам в образовательный процесс были активно введены произведения западноевропейской и русской классики, в том числе сочинения Рахманинова, Скрябина и Прокофьева [4; 6]. Это имело принципиальное значение, поскольку речь шла уже не о случайном наборе пьес, а о формировании систематизированной учебной программы. Одновременно влияние русской школы сказалось и на раннем этапе становления китайского национального фортепианного репертуара. Появились произведения, в которых китайский интонационный материал соединялся с усвоенными принципами европейско-русской пианистической культуры — «Три прелюдии» Сан Туна (1954) и «Этюд» Ду Минсиня (1955) [3; 5]. Таким образом, влияние проявилось не только в сфере обучения, но и в сфере композиционного мышления.</w:t>
      </w:r>
    </w:p>
    <w:p w14:paraId="2139B760" w14:textId="77777777" w:rsidR="00D4070D" w:rsidRPr="00D4070D" w:rsidRDefault="00D4070D" w:rsidP="00D4070D">
      <w:pPr>
        <w:tabs>
          <w:tab w:val="left" w:pos="3564"/>
        </w:tabs>
        <w:spacing w:line="240" w:lineRule="exact"/>
        <w:ind w:firstLine="397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t>Наконец, третий уровень связан с исторической преемственностью. Ученики советских специалистов — Гу Шэнъин, Инь Чэнцзун, Лю Шикунь, Чжоу Гуанжэнь, Бао Хуйцзя — в дальнейшем заняли важное место в китайской музыкальной жизни и приняли участие в развитии национальной системы фортепианного образования [4; 6]. Это позволяет говорить о том, что русская фортепианная школа в рассматриваемый период выступила не как внешний эпизод культурного заимствования, а как один из факторов институционального становления китайского фортепианного искусства.</w:t>
      </w:r>
    </w:p>
    <w:p w14:paraId="3E3CA8CE" w14:textId="77777777" w:rsidR="00D4070D" w:rsidRPr="00D4070D" w:rsidRDefault="00D4070D" w:rsidP="00D4070D">
      <w:pPr>
        <w:tabs>
          <w:tab w:val="left" w:pos="3564"/>
        </w:tabs>
        <w:spacing w:line="240" w:lineRule="exact"/>
        <w:ind w:firstLine="397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Влияние русской фортепианной школы на китайское фортепианное искусство в 1949–1966 гг. следует рассматривать в трёх основных аспектах: техническом, педагогико-институциональном и художественно-репертуарном. Именно в этот период были </w:t>
      </w:r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lastRenderedPageBreak/>
        <w:t>заложены основы профессионального фортепианного образования в Китае, сформировалось первое поколение исполнителей и педагогов нового типа, а русская школа стала важным посредником в переходе китайского фортепианного искусства к современным формам профессионального существования [2; 4; 6].</w:t>
      </w:r>
    </w:p>
    <w:p w14:paraId="0B2FFEE7" w14:textId="77777777" w:rsidR="008052E2" w:rsidRDefault="008052E2" w:rsidP="00D4070D">
      <w:pPr>
        <w:tabs>
          <w:tab w:val="left" w:pos="3564"/>
        </w:tabs>
        <w:spacing w:line="240" w:lineRule="exact"/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</w:pPr>
    </w:p>
    <w:p w14:paraId="11BAA505" w14:textId="701FB357" w:rsidR="00D4070D" w:rsidRPr="00D4070D" w:rsidRDefault="00D4070D" w:rsidP="00D4070D">
      <w:pPr>
        <w:tabs>
          <w:tab w:val="left" w:pos="3564"/>
        </w:tabs>
        <w:spacing w:line="240" w:lineRule="exact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D4070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40595C93" w14:textId="77777777" w:rsidR="00D4070D" w:rsidRPr="00D4070D" w:rsidRDefault="00D4070D" w:rsidP="00D4070D">
      <w:pPr>
        <w:tabs>
          <w:tab w:val="left" w:pos="3564"/>
        </w:tabs>
        <w:spacing w:line="240" w:lineRule="exact"/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</w:pPr>
      <w:r w:rsidRPr="00D4070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Литература на русском языке</w:t>
      </w:r>
    </w:p>
    <w:p w14:paraId="3F41503D" w14:textId="1FA1DFAC" w:rsidR="00D4070D" w:rsidRPr="00D4070D" w:rsidRDefault="00D4070D" w:rsidP="006E2FCF">
      <w:pPr>
        <w:tabs>
          <w:tab w:val="left" w:pos="3564"/>
        </w:tabs>
        <w:spacing w:line="240" w:lineRule="exact"/>
        <w:ind w:firstLine="397"/>
        <w:rPr>
          <w:rFonts w:ascii="Times New Roman" w:eastAsia="宋体" w:hAnsi="Times New Roman" w:cs="Times New Roman"/>
          <w:sz w:val="24"/>
          <w:szCs w:val="24"/>
          <w:lang w:val="ru-RU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ru-RU"/>
        </w:rPr>
        <w:t>1.</w:t>
      </w:r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t>Варламов Д. И., Ян Тэн. Академические тенденции в китайской музыке // Вестник Саратовской консерватории. – 2023. – № 4 (22). – С. 41–52.</w:t>
      </w:r>
    </w:p>
    <w:p w14:paraId="7D413D52" w14:textId="77777777" w:rsidR="00D4070D" w:rsidRDefault="00D4070D" w:rsidP="006E2FCF">
      <w:pPr>
        <w:tabs>
          <w:tab w:val="left" w:pos="3564"/>
        </w:tabs>
        <w:spacing w:line="240" w:lineRule="exact"/>
        <w:ind w:firstLine="397"/>
        <w:rPr>
          <w:rFonts w:ascii="Times New Roman" w:eastAsia="宋体" w:hAnsi="Times New Roman" w:cs="Times New Roman"/>
          <w:sz w:val="24"/>
          <w:szCs w:val="24"/>
          <w:lang w:val="ru-RU"/>
        </w:rPr>
      </w:pPr>
    </w:p>
    <w:p w14:paraId="7F4EA5B8" w14:textId="42CF7AF6" w:rsidR="006E2FCF" w:rsidRPr="006E2FCF" w:rsidRDefault="00D4070D" w:rsidP="006E2FCF">
      <w:pPr>
        <w:tabs>
          <w:tab w:val="left" w:pos="3564"/>
        </w:tabs>
        <w:spacing w:line="240" w:lineRule="exact"/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</w:pPr>
      <w:r w:rsidRPr="00D4070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 xml:space="preserve">Литература на китайском языке </w:t>
      </w:r>
    </w:p>
    <w:p w14:paraId="4C3B3248" w14:textId="50DECE11" w:rsidR="006E2FCF" w:rsidRDefault="00D4070D" w:rsidP="006E2FCF">
      <w:pPr>
        <w:tabs>
          <w:tab w:val="left" w:pos="3564"/>
        </w:tabs>
        <w:spacing w:line="240" w:lineRule="exact"/>
        <w:ind w:firstLine="397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t>2. Лу Ян. Влияние русской фортепианной школы на фортепианное образование в Китае // Северная музыка. – 2014. – № 3. – С. 34–36.</w:t>
      </w:r>
      <w:r w:rsidRPr="00D4070D">
        <w:rPr>
          <w:rFonts w:ascii="Times New Roman" w:eastAsia="宋体" w:hAnsi="Times New Roman" w:cs="Times New Roman"/>
          <w:sz w:val="24"/>
          <w:szCs w:val="24"/>
        </w:rPr>
        <w:t> </w:t>
      </w:r>
      <w:r w:rsidRPr="00D4070D">
        <w:rPr>
          <w:rFonts w:ascii="Times New Roman" w:eastAsia="宋体" w:hAnsi="Times New Roman" w:cs="Times New Roman"/>
          <w:i/>
          <w:iCs/>
          <w:sz w:val="24"/>
          <w:szCs w:val="24"/>
          <w:lang w:val="ru-RU"/>
        </w:rPr>
        <w:t>(перевод автора тезисов)</w:t>
      </w:r>
    </w:p>
    <w:p w14:paraId="6B335011" w14:textId="2A938AFF" w:rsidR="006E2FCF" w:rsidRDefault="00D4070D" w:rsidP="006E2FCF">
      <w:pPr>
        <w:tabs>
          <w:tab w:val="left" w:pos="3564"/>
        </w:tabs>
        <w:spacing w:line="240" w:lineRule="exact"/>
        <w:ind w:firstLine="397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t>3. Цай Цяньцянь. Исследование влияния русской фортепианной школы на китайское фортепианное образование в первые семнадцать лет после основания КНР: дис. … магистра / Хэнаньский педагогический университет. – 2013. – 51 с.</w:t>
      </w:r>
      <w:r w:rsidRPr="00D4070D">
        <w:rPr>
          <w:rFonts w:ascii="Times New Roman" w:eastAsia="宋体" w:hAnsi="Times New Roman" w:cs="Times New Roman"/>
          <w:sz w:val="24"/>
          <w:szCs w:val="24"/>
        </w:rPr>
        <w:t> </w:t>
      </w:r>
      <w:r w:rsidRPr="00D4070D">
        <w:rPr>
          <w:rFonts w:ascii="Times New Roman" w:eastAsia="宋体" w:hAnsi="Times New Roman" w:cs="Times New Roman"/>
          <w:i/>
          <w:iCs/>
          <w:sz w:val="24"/>
          <w:szCs w:val="24"/>
          <w:lang w:val="ru-RU"/>
        </w:rPr>
        <w:t>(перевод автора тезисов)</w:t>
      </w:r>
    </w:p>
    <w:p w14:paraId="47B01006" w14:textId="0E9452A6" w:rsidR="00D4070D" w:rsidRPr="00D4070D" w:rsidRDefault="00D4070D" w:rsidP="006E2FCF">
      <w:pPr>
        <w:tabs>
          <w:tab w:val="left" w:pos="3564"/>
        </w:tabs>
        <w:spacing w:line="240" w:lineRule="exact"/>
        <w:ind w:firstLine="397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t>4. Ши Юй. Исследование влияния русской фортепианной школы на китайских пианистов // Художественная критика. – 2021. – № 6. – С. 13–15.</w:t>
      </w:r>
      <w:r w:rsidRPr="00D4070D">
        <w:rPr>
          <w:rFonts w:ascii="Times New Roman" w:eastAsia="宋体" w:hAnsi="Times New Roman" w:cs="Times New Roman"/>
          <w:sz w:val="24"/>
          <w:szCs w:val="24"/>
        </w:rPr>
        <w:t> </w:t>
      </w:r>
      <w:r w:rsidRPr="00D4070D">
        <w:rPr>
          <w:rFonts w:ascii="Times New Roman" w:eastAsia="宋体" w:hAnsi="Times New Roman" w:cs="Times New Roman"/>
          <w:i/>
          <w:iCs/>
          <w:sz w:val="24"/>
          <w:szCs w:val="24"/>
          <w:lang w:val="ru-RU"/>
        </w:rPr>
        <w:t>(перевод автора тезисов)</w:t>
      </w:r>
    </w:p>
    <w:p w14:paraId="57AAF6DC" w14:textId="77777777" w:rsidR="006E2FCF" w:rsidRDefault="006E2FCF" w:rsidP="006E2FCF">
      <w:pPr>
        <w:tabs>
          <w:tab w:val="left" w:pos="3564"/>
        </w:tabs>
        <w:spacing w:line="240" w:lineRule="exact"/>
        <w:rPr>
          <w:rFonts w:ascii="Times New Roman" w:eastAsia="宋体" w:hAnsi="Times New Roman" w:cs="Times New Roman"/>
          <w:sz w:val="24"/>
          <w:szCs w:val="24"/>
          <w:lang w:val="ru-RU"/>
        </w:rPr>
      </w:pPr>
    </w:p>
    <w:p w14:paraId="5FBFDB45" w14:textId="7481DA6F" w:rsidR="006E2FCF" w:rsidRPr="006E2FCF" w:rsidRDefault="00D4070D" w:rsidP="006E2FCF">
      <w:pPr>
        <w:tabs>
          <w:tab w:val="left" w:pos="3564"/>
        </w:tabs>
        <w:spacing w:line="240" w:lineRule="exact"/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</w:pPr>
      <w:r w:rsidRPr="00D4070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Электронные ресурсы</w:t>
      </w:r>
    </w:p>
    <w:p w14:paraId="0AFB07C5" w14:textId="3887170C" w:rsidR="006E2FCF" w:rsidRDefault="00D4070D" w:rsidP="006E2FCF">
      <w:pPr>
        <w:tabs>
          <w:tab w:val="left" w:pos="3564"/>
        </w:tabs>
        <w:spacing w:line="240" w:lineRule="exact"/>
        <w:ind w:firstLine="397"/>
        <w:rPr>
          <w:rFonts w:ascii="Times New Roman" w:eastAsia="宋体" w:hAnsi="Times New Roman" w:cs="Times New Roman"/>
          <w:sz w:val="24"/>
          <w:szCs w:val="24"/>
          <w:lang w:val="ru-RU"/>
        </w:rPr>
      </w:pPr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t>5. Дяо Бэйхуа [Электронный ресурс] // Энциклопедия Байду. – Режим доступа:</w:t>
      </w:r>
      <w:r w:rsidRPr="00D4070D">
        <w:rPr>
          <w:rFonts w:ascii="Times New Roman" w:eastAsia="宋体" w:hAnsi="Times New Roman" w:cs="Times New Roman"/>
          <w:sz w:val="24"/>
          <w:szCs w:val="24"/>
        </w:rPr>
        <w:t> </w:t>
      </w:r>
      <w:hyperlink r:id="rId9" w:tgtFrame="_blank" w:history="1"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</w:rPr>
          <w:t>https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  <w:lang w:val="ru-RU"/>
          </w:rPr>
          <w:t>://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</w:rPr>
          <w:t>baike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  <w:lang w:val="ru-RU"/>
          </w:rPr>
          <w:t>.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</w:rPr>
          <w:t>baidu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  <w:lang w:val="ru-RU"/>
          </w:rPr>
          <w:t>.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</w:rPr>
          <w:t>com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  <w:lang w:val="ru-RU"/>
          </w:rPr>
          <w:t>/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</w:rPr>
          <w:t>item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  <w:lang w:val="ru-RU"/>
          </w:rPr>
          <w:t>/</w:t>
        </w:r>
      </w:hyperlink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t xml:space="preserve"> (дата обращения: 08.03.2026).</w:t>
      </w:r>
      <w:r w:rsidRPr="00D4070D">
        <w:rPr>
          <w:rFonts w:ascii="Times New Roman" w:eastAsia="宋体" w:hAnsi="Times New Roman" w:cs="Times New Roman"/>
          <w:sz w:val="24"/>
          <w:szCs w:val="24"/>
        </w:rPr>
        <w:t> </w:t>
      </w:r>
      <w:r w:rsidRPr="00D4070D">
        <w:rPr>
          <w:rFonts w:ascii="Times New Roman" w:eastAsia="宋体" w:hAnsi="Times New Roman" w:cs="Times New Roman"/>
          <w:i/>
          <w:iCs/>
          <w:sz w:val="24"/>
          <w:szCs w:val="24"/>
          <w:lang w:val="ru-RU"/>
        </w:rPr>
        <w:t>(перевод автора тезисов)</w:t>
      </w:r>
    </w:p>
    <w:p w14:paraId="4863842E" w14:textId="08930387" w:rsidR="00D4070D" w:rsidRPr="00D4070D" w:rsidRDefault="00D4070D" w:rsidP="006E2FCF">
      <w:pPr>
        <w:tabs>
          <w:tab w:val="left" w:pos="3564"/>
        </w:tabs>
        <w:spacing w:line="240" w:lineRule="exact"/>
        <w:ind w:firstLine="397"/>
        <w:rPr>
          <w:rFonts w:ascii="Times New Roman" w:eastAsia="宋体" w:hAnsi="Times New Roman" w:cs="Times New Roman"/>
          <w:i/>
          <w:iCs/>
          <w:sz w:val="24"/>
          <w:szCs w:val="24"/>
          <w:lang w:val="ru-RU"/>
        </w:rPr>
      </w:pPr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t>6. История Московской консерватории [Электронный ресурс] // Официальный сайт Московской государственной консерватории имени П. И. Чайковского. – Режим доступа:</w:t>
      </w:r>
      <w:r w:rsidRPr="00D4070D">
        <w:rPr>
          <w:rFonts w:ascii="Times New Roman" w:eastAsia="宋体" w:hAnsi="Times New Roman" w:cs="Times New Roman"/>
          <w:sz w:val="24"/>
          <w:szCs w:val="24"/>
        </w:rPr>
        <w:t> </w:t>
      </w:r>
      <w:hyperlink r:id="rId10" w:tgtFrame="_blank" w:history="1"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</w:rPr>
          <w:t>https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  <w:lang w:val="ru-RU"/>
          </w:rPr>
          <w:t>://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</w:rPr>
          <w:t>www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  <w:lang w:val="ru-RU"/>
          </w:rPr>
          <w:t>.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</w:rPr>
          <w:t>mosconsv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  <w:lang w:val="ru-RU"/>
          </w:rPr>
          <w:t>.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</w:rPr>
          <w:t>ru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  <w:lang w:val="ru-RU"/>
          </w:rPr>
          <w:t>/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</w:rPr>
          <w:t>ru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  <w:lang w:val="ru-RU"/>
          </w:rPr>
          <w:t>/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</w:rPr>
          <w:t>history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  <w:lang w:val="ru-RU"/>
          </w:rPr>
          <w:t>.</w:t>
        </w:r>
        <w:r w:rsidRPr="00D4070D">
          <w:rPr>
            <w:rStyle w:val="ae"/>
            <w:rFonts w:ascii="Times New Roman" w:eastAsia="宋体" w:hAnsi="Times New Roman" w:cs="Times New Roman"/>
            <w:sz w:val="24"/>
            <w:szCs w:val="24"/>
          </w:rPr>
          <w:t>aspx</w:t>
        </w:r>
      </w:hyperlink>
      <w:r w:rsidRPr="00D4070D">
        <w:rPr>
          <w:rFonts w:ascii="Times New Roman" w:eastAsia="宋体" w:hAnsi="Times New Roman" w:cs="Times New Roman"/>
          <w:sz w:val="24"/>
          <w:szCs w:val="24"/>
        </w:rPr>
        <w:t> </w:t>
      </w:r>
      <w:r w:rsidRPr="00D4070D">
        <w:rPr>
          <w:rFonts w:ascii="Times New Roman" w:eastAsia="宋体" w:hAnsi="Times New Roman" w:cs="Times New Roman"/>
          <w:sz w:val="24"/>
          <w:szCs w:val="24"/>
          <w:lang w:val="ru-RU"/>
        </w:rPr>
        <w:t>(дата обращения: 08.03.2026).</w:t>
      </w:r>
    </w:p>
    <w:p w14:paraId="648C0110" w14:textId="0E36ACFA" w:rsidR="000B51B2" w:rsidRPr="00D4070D" w:rsidRDefault="000B51B2" w:rsidP="006E2FCF">
      <w:pPr>
        <w:tabs>
          <w:tab w:val="left" w:pos="3564"/>
        </w:tabs>
        <w:spacing w:line="240" w:lineRule="exact"/>
        <w:ind w:firstLine="397"/>
        <w:rPr>
          <w:rFonts w:ascii="Times New Roman" w:eastAsia="宋体" w:hAnsi="Times New Roman" w:cs="Times New Roman"/>
          <w:sz w:val="24"/>
          <w:szCs w:val="24"/>
          <w:lang w:val="ru-RU"/>
        </w:rPr>
      </w:pPr>
    </w:p>
    <w:sectPr w:rsidR="000B51B2" w:rsidRPr="00D4070D" w:rsidSect="00E50861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FB8B" w14:textId="77777777" w:rsidR="00A10482" w:rsidRDefault="00A10482" w:rsidP="006E18FB">
      <w:pPr>
        <w:rPr>
          <w:rFonts w:hint="eastAsia"/>
        </w:rPr>
      </w:pPr>
      <w:r>
        <w:separator/>
      </w:r>
    </w:p>
  </w:endnote>
  <w:endnote w:type="continuationSeparator" w:id="0">
    <w:p w14:paraId="35466889" w14:textId="77777777" w:rsidR="00A10482" w:rsidRDefault="00A10482" w:rsidP="006E18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E32F" w14:textId="77777777" w:rsidR="00A10482" w:rsidRDefault="00A10482" w:rsidP="006E18FB">
      <w:pPr>
        <w:rPr>
          <w:rFonts w:hint="eastAsia"/>
        </w:rPr>
      </w:pPr>
      <w:r>
        <w:separator/>
      </w:r>
    </w:p>
  </w:footnote>
  <w:footnote w:type="continuationSeparator" w:id="0">
    <w:p w14:paraId="4D5BC1EB" w14:textId="77777777" w:rsidR="00A10482" w:rsidRDefault="00A10482" w:rsidP="006E18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C05"/>
    <w:multiLevelType w:val="multilevel"/>
    <w:tmpl w:val="A09C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9245D"/>
    <w:multiLevelType w:val="multilevel"/>
    <w:tmpl w:val="9264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24A49"/>
    <w:multiLevelType w:val="multilevel"/>
    <w:tmpl w:val="20A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B08E9"/>
    <w:multiLevelType w:val="multilevel"/>
    <w:tmpl w:val="0FC4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70F6F"/>
    <w:multiLevelType w:val="multilevel"/>
    <w:tmpl w:val="B136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B1B2B"/>
    <w:multiLevelType w:val="multilevel"/>
    <w:tmpl w:val="FAAE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A423B6"/>
    <w:multiLevelType w:val="multilevel"/>
    <w:tmpl w:val="75E4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B401F"/>
    <w:multiLevelType w:val="multilevel"/>
    <w:tmpl w:val="65FCF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B4FE8"/>
    <w:multiLevelType w:val="multilevel"/>
    <w:tmpl w:val="824E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372328"/>
    <w:multiLevelType w:val="multilevel"/>
    <w:tmpl w:val="CDA0E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71FF7"/>
    <w:multiLevelType w:val="multilevel"/>
    <w:tmpl w:val="ECF03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E1FCE"/>
    <w:multiLevelType w:val="multilevel"/>
    <w:tmpl w:val="9F38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FE624B"/>
    <w:multiLevelType w:val="multilevel"/>
    <w:tmpl w:val="2FD0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E170E6"/>
    <w:multiLevelType w:val="multilevel"/>
    <w:tmpl w:val="0F6E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8F6CF9"/>
    <w:multiLevelType w:val="multilevel"/>
    <w:tmpl w:val="BB4A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D1526F"/>
    <w:multiLevelType w:val="multilevel"/>
    <w:tmpl w:val="8686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CA3167"/>
    <w:multiLevelType w:val="multilevel"/>
    <w:tmpl w:val="DD62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9102B0"/>
    <w:multiLevelType w:val="multilevel"/>
    <w:tmpl w:val="89A2B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625670"/>
    <w:multiLevelType w:val="multilevel"/>
    <w:tmpl w:val="A950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B17FD1"/>
    <w:multiLevelType w:val="multilevel"/>
    <w:tmpl w:val="7C286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312C1"/>
    <w:multiLevelType w:val="multilevel"/>
    <w:tmpl w:val="58E8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3F10EF"/>
    <w:multiLevelType w:val="multilevel"/>
    <w:tmpl w:val="8E92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20485E"/>
    <w:multiLevelType w:val="multilevel"/>
    <w:tmpl w:val="FEA23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76319C"/>
    <w:multiLevelType w:val="multilevel"/>
    <w:tmpl w:val="EF1A7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051543"/>
    <w:multiLevelType w:val="multilevel"/>
    <w:tmpl w:val="A0963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8523D8"/>
    <w:multiLevelType w:val="multilevel"/>
    <w:tmpl w:val="C0FA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862762"/>
    <w:multiLevelType w:val="multilevel"/>
    <w:tmpl w:val="407E96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7421744">
    <w:abstractNumId w:val="17"/>
  </w:num>
  <w:num w:numId="2" w16cid:durableId="373769843">
    <w:abstractNumId w:val="25"/>
  </w:num>
  <w:num w:numId="3" w16cid:durableId="586423771">
    <w:abstractNumId w:val="22"/>
  </w:num>
  <w:num w:numId="4" w16cid:durableId="1933851024">
    <w:abstractNumId w:val="2"/>
  </w:num>
  <w:num w:numId="5" w16cid:durableId="1615283045">
    <w:abstractNumId w:val="12"/>
  </w:num>
  <w:num w:numId="6" w16cid:durableId="1756323416">
    <w:abstractNumId w:val="8"/>
  </w:num>
  <w:num w:numId="7" w16cid:durableId="665322698">
    <w:abstractNumId w:val="1"/>
  </w:num>
  <w:num w:numId="8" w16cid:durableId="1206017813">
    <w:abstractNumId w:val="6"/>
  </w:num>
  <w:num w:numId="9" w16cid:durableId="463935713">
    <w:abstractNumId w:val="4"/>
  </w:num>
  <w:num w:numId="10" w16cid:durableId="1156992176">
    <w:abstractNumId w:val="10"/>
  </w:num>
  <w:num w:numId="11" w16cid:durableId="727191169">
    <w:abstractNumId w:val="5"/>
  </w:num>
  <w:num w:numId="12" w16cid:durableId="2044939013">
    <w:abstractNumId w:val="24"/>
  </w:num>
  <w:num w:numId="13" w16cid:durableId="389547866">
    <w:abstractNumId w:val="9"/>
  </w:num>
  <w:num w:numId="14" w16cid:durableId="2014136992">
    <w:abstractNumId w:val="18"/>
  </w:num>
  <w:num w:numId="15" w16cid:durableId="1543790768">
    <w:abstractNumId w:val="23"/>
  </w:num>
  <w:num w:numId="16" w16cid:durableId="1099057101">
    <w:abstractNumId w:val="3"/>
  </w:num>
  <w:num w:numId="17" w16cid:durableId="100034913">
    <w:abstractNumId w:val="11"/>
  </w:num>
  <w:num w:numId="18" w16cid:durableId="951983844">
    <w:abstractNumId w:val="13"/>
  </w:num>
  <w:num w:numId="19" w16cid:durableId="1193886997">
    <w:abstractNumId w:val="16"/>
  </w:num>
  <w:num w:numId="20" w16cid:durableId="1332634200">
    <w:abstractNumId w:val="7"/>
  </w:num>
  <w:num w:numId="21" w16cid:durableId="1026059462">
    <w:abstractNumId w:val="21"/>
  </w:num>
  <w:num w:numId="22" w16cid:durableId="1962226691">
    <w:abstractNumId w:val="14"/>
  </w:num>
  <w:num w:numId="23" w16cid:durableId="1531142429">
    <w:abstractNumId w:val="20"/>
  </w:num>
  <w:num w:numId="24" w16cid:durableId="1106384573">
    <w:abstractNumId w:val="19"/>
  </w:num>
  <w:num w:numId="25" w16cid:durableId="1679380622">
    <w:abstractNumId w:val="26"/>
  </w:num>
  <w:num w:numId="26" w16cid:durableId="1438284636">
    <w:abstractNumId w:val="0"/>
  </w:num>
  <w:num w:numId="27" w16cid:durableId="7635726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80"/>
    <w:rsid w:val="000313AB"/>
    <w:rsid w:val="00032B1C"/>
    <w:rsid w:val="000B51B2"/>
    <w:rsid w:val="000C192A"/>
    <w:rsid w:val="000C4E7B"/>
    <w:rsid w:val="000F6259"/>
    <w:rsid w:val="001257F8"/>
    <w:rsid w:val="001546FE"/>
    <w:rsid w:val="001706BC"/>
    <w:rsid w:val="001B63CB"/>
    <w:rsid w:val="00233C98"/>
    <w:rsid w:val="00237A6B"/>
    <w:rsid w:val="002C1E21"/>
    <w:rsid w:val="002E2DCE"/>
    <w:rsid w:val="0042315E"/>
    <w:rsid w:val="0045339E"/>
    <w:rsid w:val="004F6E56"/>
    <w:rsid w:val="0054690E"/>
    <w:rsid w:val="005655E4"/>
    <w:rsid w:val="005D6B8C"/>
    <w:rsid w:val="00624E7E"/>
    <w:rsid w:val="006E18FB"/>
    <w:rsid w:val="006E2FCF"/>
    <w:rsid w:val="00723F95"/>
    <w:rsid w:val="0077362A"/>
    <w:rsid w:val="007973F4"/>
    <w:rsid w:val="008052E2"/>
    <w:rsid w:val="008053A9"/>
    <w:rsid w:val="0087147B"/>
    <w:rsid w:val="00910847"/>
    <w:rsid w:val="009D4C29"/>
    <w:rsid w:val="009D53B6"/>
    <w:rsid w:val="00A027DD"/>
    <w:rsid w:val="00A10482"/>
    <w:rsid w:val="00A23536"/>
    <w:rsid w:val="00A83237"/>
    <w:rsid w:val="00AD1CAC"/>
    <w:rsid w:val="00AE28E4"/>
    <w:rsid w:val="00B51447"/>
    <w:rsid w:val="00B81A03"/>
    <w:rsid w:val="00B97356"/>
    <w:rsid w:val="00BB6656"/>
    <w:rsid w:val="00C11649"/>
    <w:rsid w:val="00CB264C"/>
    <w:rsid w:val="00CF49FE"/>
    <w:rsid w:val="00D14480"/>
    <w:rsid w:val="00D2615C"/>
    <w:rsid w:val="00D4070D"/>
    <w:rsid w:val="00DE2366"/>
    <w:rsid w:val="00DF0AAF"/>
    <w:rsid w:val="00E142A2"/>
    <w:rsid w:val="00E30904"/>
    <w:rsid w:val="00E50861"/>
    <w:rsid w:val="00E71AC8"/>
    <w:rsid w:val="00E7609A"/>
    <w:rsid w:val="00F57B3C"/>
    <w:rsid w:val="00F9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21F13"/>
  <w15:chartTrackingRefBased/>
  <w15:docId w15:val="{F0CAF989-83CA-4BB8-927A-C15C4E86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48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4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48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48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48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14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4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4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4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48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7362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7362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E18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6E18FB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6E1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6E18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33500684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osconsv.ru/ru/history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1890-656B-4FD4-AF2A-B2450EE8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yuyue zhang</dc:creator>
  <cp:keywords/>
  <dc:description/>
  <cp:lastModifiedBy>yuyue zhang</cp:lastModifiedBy>
  <cp:revision>13</cp:revision>
  <cp:lastPrinted>2026-03-08T17:45:00Z</cp:lastPrinted>
  <dcterms:created xsi:type="dcterms:W3CDTF">2026-03-09T19:21:00Z</dcterms:created>
  <dcterms:modified xsi:type="dcterms:W3CDTF">2026-03-16T13:23:00Z</dcterms:modified>
</cp:coreProperties>
</file>