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B353" w14:textId="77777777" w:rsidR="004C53A4" w:rsidRPr="0020536F" w:rsidRDefault="004C53A4" w:rsidP="004C53A4">
      <w:pPr>
        <w:pStyle w:val="ac"/>
        <w:spacing w:before="0" w:beforeAutospacing="0" w:after="150" w:afterAutospacing="0" w:line="420" w:lineRule="atLeast"/>
        <w:rPr>
          <w:rStyle w:val="af3"/>
          <w:rFonts w:eastAsiaTheme="majorEastAsia"/>
          <w:color w:val="000000" w:themeColor="text1"/>
          <w:sz w:val="23"/>
          <w:szCs w:val="23"/>
        </w:rPr>
      </w:pPr>
      <w:r w:rsidRPr="0020536F">
        <w:rPr>
          <w:rStyle w:val="af3"/>
          <w:rFonts w:eastAsiaTheme="majorEastAsia"/>
          <w:color w:val="000000" w:themeColor="text1"/>
          <w:sz w:val="23"/>
          <w:szCs w:val="23"/>
        </w:rPr>
        <w:t xml:space="preserve">Политика памяти и стратегии обращения с советским наследием в Восточной </w:t>
      </w:r>
      <w:proofErr w:type="spellStart"/>
      <w:r w:rsidRPr="0020536F">
        <w:rPr>
          <w:rStyle w:val="af3"/>
          <w:rFonts w:eastAsiaTheme="majorEastAsia"/>
          <w:color w:val="000000" w:themeColor="text1"/>
          <w:sz w:val="23"/>
          <w:szCs w:val="23"/>
        </w:rPr>
        <w:t>Германии</w:t>
      </w:r>
    </w:p>
    <w:p w14:paraId="37EB214F" w14:textId="09B514EF" w:rsidR="004C53A4" w:rsidRPr="0020536F" w:rsidRDefault="004C53A4" w:rsidP="004C53A4">
      <w:pPr>
        <w:pStyle w:val="ac"/>
        <w:spacing w:before="0" w:beforeAutospacing="0" w:after="150" w:afterAutospacing="0" w:line="420" w:lineRule="atLeast"/>
        <w:rPr>
          <w:color w:val="000000" w:themeColor="text1"/>
          <w:sz w:val="23"/>
          <w:szCs w:val="23"/>
        </w:rPr>
      </w:pPr>
      <w:proofErr w:type="spellEnd"/>
      <w:r w:rsidRPr="0020536F">
        <w:rPr>
          <w:rStyle w:val="af3"/>
          <w:rFonts w:eastAsiaTheme="majorEastAsia"/>
          <w:i/>
          <w:iCs/>
          <w:color w:val="000000" w:themeColor="text1"/>
          <w:sz w:val="23"/>
          <w:szCs w:val="23"/>
        </w:rPr>
        <w:t>Рожнов Роман Дмитриевич</w:t>
      </w:r>
    </w:p>
    <w:p w14:paraId="52699A81" w14:textId="00118E18" w:rsidR="004C53A4" w:rsidRPr="0020536F" w:rsidRDefault="004C53A4" w:rsidP="004C53A4">
      <w:pPr>
        <w:pStyle w:val="ac"/>
        <w:spacing w:before="0" w:beforeAutospacing="0" w:after="150" w:afterAutospacing="0" w:line="420" w:lineRule="atLeast"/>
        <w:rPr>
          <w:color w:val="000000" w:themeColor="text1"/>
          <w:sz w:val="23"/>
          <w:szCs w:val="23"/>
        </w:rPr>
      </w:pPr>
      <w:r w:rsidRPr="0020536F">
        <w:rPr>
          <w:rStyle w:val="ad"/>
          <w:rFonts w:eastAsiaTheme="majorEastAsia"/>
          <w:color w:val="000000" w:themeColor="text1"/>
          <w:sz w:val="23"/>
          <w:szCs w:val="23"/>
        </w:rPr>
        <w:t>Аспирант</w:t>
      </w:r>
    </w:p>
    <w:p w14:paraId="385939A7" w14:textId="77777777" w:rsidR="004C53A4" w:rsidRPr="0020536F" w:rsidRDefault="004C53A4" w:rsidP="004C53A4">
      <w:pPr>
        <w:pStyle w:val="ac"/>
        <w:spacing w:before="0" w:beforeAutospacing="0" w:after="150" w:afterAutospacing="0" w:line="420" w:lineRule="atLeast"/>
        <w:rPr>
          <w:color w:val="000000" w:themeColor="text1"/>
          <w:sz w:val="23"/>
          <w:szCs w:val="23"/>
        </w:rPr>
      </w:pPr>
      <w:r w:rsidRPr="0020536F">
        <w:rPr>
          <w:rStyle w:val="ad"/>
          <w:rFonts w:eastAsiaTheme="majorEastAsia"/>
          <w:color w:val="000000" w:themeColor="text1"/>
          <w:sz w:val="23"/>
          <w:szCs w:val="23"/>
        </w:rPr>
        <w:t xml:space="preserve">Московский государственный университет имени </w:t>
      </w:r>
      <w:proofErr w:type="spellStart"/>
      <w:r w:rsidRPr="0020536F">
        <w:rPr>
          <w:rStyle w:val="ad"/>
          <w:rFonts w:eastAsiaTheme="majorEastAsia"/>
          <w:color w:val="000000" w:themeColor="text1"/>
          <w:sz w:val="23"/>
          <w:szCs w:val="23"/>
        </w:rPr>
        <w:t>М.В.Ломоносова</w:t>
      </w:r>
      <w:proofErr w:type="spellEnd"/>
      <w:r w:rsidRPr="0020536F">
        <w:rPr>
          <w:rStyle w:val="ad"/>
          <w:rFonts w:eastAsiaTheme="majorEastAsia"/>
          <w:color w:val="000000" w:themeColor="text1"/>
          <w:sz w:val="23"/>
          <w:szCs w:val="23"/>
        </w:rPr>
        <w:t>, </w:t>
      </w:r>
    </w:p>
    <w:p w14:paraId="52059FFF" w14:textId="4D773EBD" w:rsidR="004C53A4" w:rsidRPr="0020536F" w:rsidRDefault="004C53A4" w:rsidP="004C53A4">
      <w:pPr>
        <w:pStyle w:val="ac"/>
        <w:spacing w:before="0" w:beforeAutospacing="0" w:after="150" w:afterAutospacing="0" w:line="420" w:lineRule="atLeast"/>
        <w:rPr>
          <w:color w:val="000000" w:themeColor="text1"/>
          <w:sz w:val="23"/>
          <w:szCs w:val="23"/>
        </w:rPr>
      </w:pPr>
      <w:r w:rsidRPr="0020536F">
        <w:rPr>
          <w:rStyle w:val="ad"/>
          <w:rFonts w:eastAsiaTheme="majorEastAsia"/>
          <w:color w:val="000000" w:themeColor="text1"/>
          <w:sz w:val="23"/>
          <w:szCs w:val="23"/>
        </w:rPr>
        <w:t>Факультет иностранных языков и регионоведения</w:t>
      </w:r>
      <w:r w:rsidRPr="0020536F">
        <w:rPr>
          <w:rStyle w:val="ad"/>
          <w:rFonts w:eastAsiaTheme="majorEastAsia"/>
          <w:color w:val="000000" w:themeColor="text1"/>
          <w:sz w:val="23"/>
          <w:szCs w:val="23"/>
        </w:rPr>
        <w:t>, Москва, Россия</w:t>
      </w:r>
    </w:p>
    <w:p w14:paraId="3CD7DBCB" w14:textId="0469409A" w:rsidR="004C53A4" w:rsidRPr="0020536F" w:rsidRDefault="004C53A4" w:rsidP="004C53A4">
      <w:pPr>
        <w:pStyle w:val="ac"/>
        <w:spacing w:before="0" w:beforeAutospacing="0" w:after="150" w:afterAutospacing="0" w:line="420" w:lineRule="atLeast"/>
        <w:rPr>
          <w:color w:val="000000" w:themeColor="text1"/>
          <w:sz w:val="23"/>
          <w:szCs w:val="23"/>
          <w:lang w:val="en-US"/>
        </w:rPr>
      </w:pPr>
      <w:r w:rsidRPr="0020536F">
        <w:rPr>
          <w:rStyle w:val="ad"/>
          <w:rFonts w:eastAsiaTheme="majorEastAsia"/>
          <w:color w:val="000000" w:themeColor="text1"/>
          <w:sz w:val="23"/>
          <w:szCs w:val="23"/>
          <w:lang w:val="en-US"/>
        </w:rPr>
        <w:t xml:space="preserve">E–mail: </w:t>
      </w:r>
      <w:r w:rsidRPr="0020536F">
        <w:rPr>
          <w:rStyle w:val="ad"/>
          <w:rFonts w:eastAsiaTheme="majorEastAsia"/>
          <w:color w:val="000000" w:themeColor="text1"/>
          <w:sz w:val="23"/>
          <w:szCs w:val="23"/>
          <w:lang w:val="en-US"/>
        </w:rPr>
        <w:t>rebas33@gmail.com</w:t>
      </w:r>
    </w:p>
    <w:p w14:paraId="659B0347" w14:textId="77777777" w:rsidR="004C53A4" w:rsidRPr="004C53A4" w:rsidRDefault="004C53A4" w:rsidP="00140D55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pacing w:val="-6"/>
          <w:kern w:val="0"/>
          <w:lang w:val="en-US"/>
          <w14:ligatures w14:val="none"/>
        </w:rPr>
      </w:pPr>
    </w:p>
    <w:p w14:paraId="5F05D9D9" w14:textId="4C0136AA" w:rsidR="00140D55" w:rsidRPr="00011E10" w:rsidRDefault="00140D55" w:rsidP="00140D55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После </w:t>
      </w:r>
      <w:r w:rsid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событий </w:t>
      </w: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2022 года, в условиях нарастания внутренней и внешнеполитической напряжённости советские памятники на востоке Германии вновь оказались в фокусе общественного внимания. Вопросы их сохранения, переосмысления или демонтажа стали предметом политических заявлений, экспертных обсуждений и гражданских инициатив, усилив актуальность проблематики коллективной памяти и исторической ответственности. На этом фоне особую значимость приобретает исследование механизмов и логики институциональной работы с советским наследием в Восточной Германии после объединения. </w:t>
      </w:r>
    </w:p>
    <w:p w14:paraId="6BEC15A3" w14:textId="332EC630" w:rsidR="00814B02" w:rsidRPr="00011E10" w:rsidRDefault="00814B02" w:rsidP="00140D55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Актуализация темы советского наследия продолжающуюся мнемоническую борьбу за право интерпретации прошлого и закрепления определённой оценочной перспективы в публичном пространстве. Характерным проявлением этой динамики стало институциональное усиление инфраструктуры памяти о жертвах коммунистической диктатуры, в частности запуск в апреле 2025 года международного веб-портала «Места памяти. Музеи, мемориалы и памятные знаки жертвам коммунистических диктатур»</w:t>
      </w:r>
      <w:r w:rsidR="00614134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</w:t>
      </w:r>
      <w:r w:rsidR="0057417E"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[3]</w:t>
      </w: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, инициированного Федеральным фондом по изучению диктатуры СЕПГ. Платформа, объединяющая более 800 мемориальных объектов по бывших территориях советской оккупационной зоне и ГДР формирует транснациональную рамку осмысления советского наследия.</w:t>
      </w:r>
    </w:p>
    <w:p w14:paraId="7B820C88" w14:textId="29583417" w:rsidR="00812A85" w:rsidRPr="00011E10" w:rsidRDefault="00812A85" w:rsidP="00812A85">
      <w:pPr>
        <w:spacing w:after="0" w:line="240" w:lineRule="auto"/>
        <w:ind w:firstLine="708"/>
        <w:jc w:val="both"/>
        <w:rPr>
          <w:rFonts w:eastAsia="Georgia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Формирование памяти о</w:t>
      </w:r>
      <w:r w:rsidR="007C5403"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восточных землях времён</w:t>
      </w: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ГДР не сводится к доминированию единого «официального» нарратива, но осуществляется во взаимодействии множества конкурирующих рамок воспоминания. Индивидуальные представления о прошлом формируются под воздействием государственной политики памяти и в результате пересечения различных «рамок памяти», что делает поле коллективного воспоминания принципиально неоднородным</w:t>
      </w:r>
      <w:r w:rsidRPr="00011E10">
        <w:rPr>
          <w:rFonts w:eastAsia="Georgia"/>
          <w:spacing w:val="-6"/>
          <w:kern w:val="0"/>
          <w14:ligatures w14:val="none"/>
        </w:rPr>
        <w:t xml:space="preserve">. </w:t>
      </w: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В этом контексте память о социалистическом прошлом в объединённой Германии характеризуется фрагментарностью и конфликтностью, отражающими различия в социальном опыте и идентичностях восточных и западных немцев. Особое значение приобретает понятие «разделённой памяти», позволяющее описать сосуществование и конкуренцию различных версий прошлого, которые нередко стремятся утвердить себя как «правильные» интерпретации истории в борьбе за смысл ГДР и её место в национальном нарративе</w:t>
      </w:r>
      <w:r w:rsidRPr="00011E10">
        <w:rPr>
          <w:rFonts w:eastAsia="Georgia"/>
          <w:spacing w:val="-6"/>
          <w:kern w:val="0"/>
          <w14:ligatures w14:val="none"/>
        </w:rPr>
        <w:t>.</w:t>
      </w:r>
      <w:r w:rsidR="0057417E" w:rsidRPr="00011E10">
        <w:rPr>
          <w:rFonts w:eastAsia="Georgia"/>
          <w:spacing w:val="-6"/>
          <w:kern w:val="0"/>
          <w14:ligatures w14:val="none"/>
        </w:rPr>
        <w:t xml:space="preserve"> [2]</w:t>
      </w:r>
    </w:p>
    <w:p w14:paraId="0DE016F0" w14:textId="60B283CD" w:rsidR="00140D55" w:rsidRPr="00011E10" w:rsidRDefault="00E2224A" w:rsidP="00EF6AF2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В рамках мнемонической конкуренции советское наследие занимает особое положение, поскольку оно связано не только с историей ГДР, но и с более широкой памятью о Второй мировой войне, антифашистском сопротивлении и роли СССР в освобождении Германии. Тем самым советские памятники оказываются включёнными сразу в несколько уровней памяти: национальный, региональный, европейский и транснациональный. Их символическое значение варьируется в зависимости от того, в какой интерпретационной рамке они рассматриваются</w:t>
      </w:r>
      <w:r w:rsidR="00EF6AF2"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:</w:t>
      </w: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как свидетельства освобождения, как элементы идеологического ландшафта социалистического режима или как материальные маркеры советского присутствия. При этом справедливо замечание, что каждое </w:t>
      </w: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lastRenderedPageBreak/>
        <w:t>государство трактует определённое положение вещей по-своему, в зависимости от того, ориентирована ли данная интерпретация на подрыв или, напротив, на поддержку существующей государственной власти</w:t>
      </w:r>
      <w:r w:rsidR="0057417E"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. [1]</w:t>
      </w: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</w:t>
      </w:r>
      <w:r w:rsidR="00812A85"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Советские памятники становятся своеобразными «узловыми точками» символического конфликта. Они материализуют прошлое в публичном пространстве и тем самым провоцируют общественную дискуссию о его оценке. Вокруг них концентрируются вопросы исторической ответственности, правовых обязательств, этики памяти и отношения к современным международным процессам. При этом сам факт их физического присутствия или отсутствия влияет на конфигурацию символического ландшафта и на способы репрезентации истории в общественном сознании.</w:t>
      </w:r>
    </w:p>
    <w:p w14:paraId="7708CB7F" w14:textId="0F8E972C" w:rsidR="00547F0F" w:rsidRPr="00011E10" w:rsidRDefault="00547F0F" w:rsidP="00EF6AF2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В процессе анализа институциональных практик по взаимодействию с памятниками наследия времён СССР</w:t>
      </w:r>
      <w:r w:rsidR="00480126"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</w:t>
      </w: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удалось выявить следующие типовые подходы в рамках рассматриваемых стратегий обращения с наследием:</w:t>
      </w:r>
    </w:p>
    <w:p w14:paraId="3E4CFCEB" w14:textId="7AA5B362" w:rsidR="00547F0F" w:rsidRPr="00011E10" w:rsidRDefault="00632277" w:rsidP="00547F0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Сохранение</w:t>
      </w:r>
    </w:p>
    <w:p w14:paraId="10888E60" w14:textId="19A0558C" w:rsidR="00547F0F" w:rsidRPr="00011E10" w:rsidRDefault="00632277" w:rsidP="00547F0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Перекодирование</w:t>
      </w:r>
    </w:p>
    <w:p w14:paraId="754737D3" w14:textId="5199C36C" w:rsidR="00547F0F" w:rsidRPr="00011E10" w:rsidRDefault="00632277" w:rsidP="00547F0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Архивизация</w:t>
      </w:r>
    </w:p>
    <w:p w14:paraId="1482890E" w14:textId="5BFEA1DB" w:rsidR="00547F0F" w:rsidRPr="00011E10" w:rsidRDefault="00632277" w:rsidP="00547F0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Маргинализация</w:t>
      </w:r>
    </w:p>
    <w:p w14:paraId="0E433129" w14:textId="6A467917" w:rsidR="00547F0F" w:rsidRPr="00011E10" w:rsidRDefault="00547F0F" w:rsidP="00547F0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Ликвидация</w:t>
      </w:r>
    </w:p>
    <w:p w14:paraId="1D3710AE" w14:textId="1A524723" w:rsidR="00632277" w:rsidRPr="00011E10" w:rsidRDefault="00632277" w:rsidP="00547F0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proofErr w:type="spellStart"/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Музеификация</w:t>
      </w:r>
      <w:proofErr w:type="spellEnd"/>
    </w:p>
    <w:p w14:paraId="7D8C86D4" w14:textId="09D25E6A" w:rsidR="00632277" w:rsidRPr="00011E10" w:rsidRDefault="00632277" w:rsidP="00547F0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Продажа</w:t>
      </w:r>
    </w:p>
    <w:p w14:paraId="3A493CB5" w14:textId="2A06A5E2" w:rsidR="00EB6340" w:rsidRPr="00011E10" w:rsidRDefault="00EB6340" w:rsidP="00EB6340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В аналитической перспективе предлагается выделить три базовые стратегии обращения с советским наследием: консервационную, трансформационную и </w:t>
      </w:r>
      <w:r w:rsidR="00632277"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дистанцирующую</w:t>
      </w: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.</w:t>
      </w:r>
    </w:p>
    <w:p w14:paraId="30A2440D" w14:textId="4C71E9B5" w:rsidR="00EB6340" w:rsidRPr="00011E10" w:rsidRDefault="00EB6340" w:rsidP="0010156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Консервационная стратегия ориентирована на сохранение материальных объектов в их существующем виде и опирается на принцип исторической преемственности и правовой ответственности. </w:t>
      </w:r>
    </w:p>
    <w:p w14:paraId="25813900" w14:textId="491FB36C" w:rsidR="00EB6340" w:rsidRPr="00011E10" w:rsidRDefault="00EB6340" w:rsidP="0010156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Трансформационная стратегия исходит из необходимости </w:t>
      </w:r>
      <w:proofErr w:type="spellStart"/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переинтерпретации</w:t>
      </w:r>
      <w:proofErr w:type="spellEnd"/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и </w:t>
      </w:r>
      <w:proofErr w:type="spellStart"/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контекстуализации</w:t>
      </w:r>
      <w:proofErr w:type="spellEnd"/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советского наследия через добавление новых смысловых рамок, включение в образовательные и музейные практики и расширение дискурсивного поля вокруг соответствующих объектов. </w:t>
      </w:r>
    </w:p>
    <w:p w14:paraId="56113B8E" w14:textId="77777777" w:rsidR="008B152F" w:rsidRPr="00011E10" w:rsidRDefault="00632277" w:rsidP="008B152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Дистанцирующая</w:t>
      </w:r>
      <w:r w:rsidR="00EB6340"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стратегия, напротив, направлена на демонтаж, переименование или иное символическое дистанцирование от социалистического прошлого и выражает установку на нормативный разрыв с авторитарным режимом. </w:t>
      </w:r>
    </w:p>
    <w:p w14:paraId="471FEA37" w14:textId="271E3FC7" w:rsidR="0046600E" w:rsidRDefault="0046600E" w:rsidP="008B152F">
      <w:pPr>
        <w:spacing w:after="0" w:line="240" w:lineRule="auto"/>
        <w:ind w:firstLine="360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46600E">
        <w:rPr>
          <w:rFonts w:ascii="Times New Roman" w:eastAsia="Georgia" w:hAnsi="Times New Roman" w:cs="Times New Roman"/>
          <w:spacing w:val="-6"/>
          <w:kern w:val="0"/>
          <w14:ligatures w14:val="none"/>
        </w:rPr>
        <w:t>Анализ мемориальной инфраструктуры и стратегий обращения с памятниками позволяет выявить специфику региональных исторических нарративов, отличающих</w:t>
      </w:r>
      <w:r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в данном случае</w:t>
      </w:r>
      <w:r w:rsidRPr="0046600E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восток </w:t>
      </w:r>
      <w:r>
        <w:rPr>
          <w:rFonts w:ascii="Times New Roman" w:eastAsia="Georgia" w:hAnsi="Times New Roman" w:cs="Times New Roman"/>
          <w:spacing w:val="-6"/>
          <w:kern w:val="0"/>
          <w14:ligatures w14:val="none"/>
        </w:rPr>
        <w:t>Германии</w:t>
      </w:r>
      <w:r w:rsidRPr="0046600E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от западных федеральных земель. Политика памяти </w:t>
      </w:r>
      <w:proofErr w:type="gramStart"/>
      <w:r w:rsidRPr="0046600E">
        <w:rPr>
          <w:rFonts w:ascii="Times New Roman" w:eastAsia="Georgia" w:hAnsi="Times New Roman" w:cs="Times New Roman"/>
          <w:spacing w:val="-6"/>
          <w:kern w:val="0"/>
          <w14:ligatures w14:val="none"/>
        </w:rPr>
        <w:t>в выступает</w:t>
      </w:r>
      <w:proofErr w:type="gramEnd"/>
      <w:r w:rsidRPr="0046600E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важным объектом </w:t>
      </w:r>
      <w:proofErr w:type="spellStart"/>
      <w:r w:rsidRPr="0046600E">
        <w:rPr>
          <w:rFonts w:ascii="Times New Roman" w:eastAsia="Georgia" w:hAnsi="Times New Roman" w:cs="Times New Roman"/>
          <w:spacing w:val="-6"/>
          <w:kern w:val="0"/>
          <w14:ligatures w14:val="none"/>
        </w:rPr>
        <w:t>регионоведческого</w:t>
      </w:r>
      <w:proofErr w:type="spellEnd"/>
      <w:r w:rsidRPr="0046600E">
        <w:rPr>
          <w:rFonts w:ascii="Times New Roman" w:eastAsia="Georgia" w:hAnsi="Times New Roman" w:cs="Times New Roman"/>
          <w:spacing w:val="-6"/>
          <w:kern w:val="0"/>
          <w14:ligatures w14:val="none"/>
        </w:rPr>
        <w:t xml:space="preserve"> анализа, поскольку позволяет исследовать трансформацию идентичности восточногерманского пространства в постсоциалистический период. </w:t>
      </w:r>
    </w:p>
    <w:p w14:paraId="5A09F437" w14:textId="46ABC7E1" w:rsidR="00993686" w:rsidRPr="00011E10" w:rsidRDefault="008B152F" w:rsidP="008B152F">
      <w:pPr>
        <w:spacing w:after="0" w:line="240" w:lineRule="auto"/>
        <w:ind w:firstLine="360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  <w:r w:rsidRPr="00011E10">
        <w:rPr>
          <w:rFonts w:ascii="Times New Roman" w:eastAsia="Georgia" w:hAnsi="Times New Roman" w:cs="Times New Roman"/>
          <w:spacing w:val="-6"/>
          <w:kern w:val="0"/>
          <w14:ligatures w14:val="none"/>
        </w:rPr>
        <w:t>Тем самым исследование стратегий обращения с советским наследием выходит за рамки сугубо историко-культурного анализа и приобретает прикладное значение для современной политики памяти. Понимание логики мнемонической конкуренции и институциональных механизмов работы с памятниками позволяет формировать более взвешенные решения в сфере культурной политики, минимизировать общественные конфликты и вырабатывать прозрачные критерии обращения с «трудным наследием» в условиях изменяющегося международного контекста.</w:t>
      </w:r>
    </w:p>
    <w:p w14:paraId="6639A000" w14:textId="77777777" w:rsidR="0057417E" w:rsidRPr="00011E10" w:rsidRDefault="0057417E" w:rsidP="008B152F">
      <w:pPr>
        <w:spacing w:after="0" w:line="240" w:lineRule="auto"/>
        <w:ind w:firstLine="360"/>
        <w:jc w:val="both"/>
        <w:rPr>
          <w:rFonts w:ascii="Times New Roman" w:eastAsia="Georgia" w:hAnsi="Times New Roman" w:cs="Times New Roman"/>
          <w:spacing w:val="-6"/>
          <w:kern w:val="0"/>
          <w14:ligatures w14:val="none"/>
        </w:rPr>
      </w:pPr>
    </w:p>
    <w:p w14:paraId="51E980A4" w14:textId="1804D85F" w:rsidR="0057417E" w:rsidRPr="00287373" w:rsidRDefault="00FD2748" w:rsidP="00FD27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5B896462" w14:textId="77777777" w:rsidR="0057417E" w:rsidRPr="005B2F70" w:rsidRDefault="0057417E" w:rsidP="0057417E">
      <w:pPr>
        <w:pStyle w:val="ac"/>
        <w:numPr>
          <w:ilvl w:val="0"/>
          <w:numId w:val="4"/>
        </w:numPr>
      </w:pPr>
      <w:r w:rsidRPr="005B2F70">
        <w:t xml:space="preserve">Нольте Э. Европейская гражданская война (1917–1945). Национал-социализм и большевизм / пер. с нем.; </w:t>
      </w:r>
      <w:proofErr w:type="spellStart"/>
      <w:r w:rsidRPr="005B2F70">
        <w:t>послесл</w:t>
      </w:r>
      <w:proofErr w:type="spellEnd"/>
      <w:r w:rsidRPr="005B2F70">
        <w:t>. С. Земляного. М.: Логос, 2003. С. 353.</w:t>
      </w:r>
    </w:p>
    <w:p w14:paraId="43A9936C" w14:textId="457A88F9" w:rsidR="0057417E" w:rsidRPr="005B2F70" w:rsidRDefault="0057417E" w:rsidP="0057417E">
      <w:pPr>
        <w:pStyle w:val="ac"/>
        <w:numPr>
          <w:ilvl w:val="0"/>
          <w:numId w:val="4"/>
        </w:numPr>
      </w:pPr>
      <w:r w:rsidRPr="005B2F70">
        <w:rPr>
          <w:lang w:val="en-US"/>
        </w:rPr>
        <w:lastRenderedPageBreak/>
        <w:t>Clarke D., Wölfel U. (eds.).</w:t>
      </w:r>
      <w:r w:rsidRPr="005B2F70">
        <w:rPr>
          <w:rStyle w:val="apple-converted-space"/>
          <w:rFonts w:eastAsiaTheme="majorEastAsia"/>
          <w:lang w:val="en-US"/>
        </w:rPr>
        <w:t> </w:t>
      </w:r>
      <w:r w:rsidRPr="005B2F70">
        <w:rPr>
          <w:rStyle w:val="ad"/>
          <w:rFonts w:eastAsiaTheme="majorEastAsia"/>
          <w:i w:val="0"/>
          <w:iCs w:val="0"/>
          <w:lang w:val="en-US"/>
        </w:rPr>
        <w:t>Remembering the German Democratic Republic: Divided Memory in a United Germany</w:t>
      </w:r>
      <w:r w:rsidRPr="005B2F70">
        <w:rPr>
          <w:i/>
          <w:iCs/>
          <w:lang w:val="en-US"/>
        </w:rPr>
        <w:t>.</w:t>
      </w:r>
      <w:r w:rsidRPr="005B2F70">
        <w:rPr>
          <w:lang w:val="en-US"/>
        </w:rPr>
        <w:t xml:space="preserve"> </w:t>
      </w:r>
      <w:proofErr w:type="spellStart"/>
      <w:r w:rsidRPr="005B2F70">
        <w:t>Basingstoke</w:t>
      </w:r>
      <w:proofErr w:type="spellEnd"/>
      <w:r w:rsidRPr="005B2F70">
        <w:t xml:space="preserve">: </w:t>
      </w:r>
      <w:proofErr w:type="spellStart"/>
      <w:r w:rsidRPr="005B2F70">
        <w:t>Palgrave</w:t>
      </w:r>
      <w:proofErr w:type="spellEnd"/>
      <w:r w:rsidRPr="005B2F70">
        <w:t xml:space="preserve"> </w:t>
      </w:r>
      <w:proofErr w:type="spellStart"/>
      <w:r w:rsidRPr="005B2F70">
        <w:t>Macmillan</w:t>
      </w:r>
      <w:proofErr w:type="spellEnd"/>
      <w:r w:rsidRPr="005B2F70">
        <w:t>, 2011. P. 49.</w:t>
      </w:r>
    </w:p>
    <w:p w14:paraId="74934C78" w14:textId="62FAAE2B" w:rsidR="0057417E" w:rsidRPr="005B2F70" w:rsidRDefault="0057417E" w:rsidP="0057417E">
      <w:pPr>
        <w:pStyle w:val="ac"/>
        <w:numPr>
          <w:ilvl w:val="0"/>
          <w:numId w:val="4"/>
        </w:numPr>
      </w:pPr>
      <w:proofErr w:type="spellStart"/>
      <w:r w:rsidRPr="005B2F70">
        <w:t>Orte</w:t>
      </w:r>
      <w:proofErr w:type="spellEnd"/>
      <w:r w:rsidRPr="005B2F70">
        <w:t xml:space="preserve"> </w:t>
      </w:r>
      <w:proofErr w:type="spellStart"/>
      <w:r w:rsidRPr="005B2F70">
        <w:t>des</w:t>
      </w:r>
      <w:proofErr w:type="spellEnd"/>
      <w:r w:rsidRPr="005B2F70">
        <w:t xml:space="preserve"> </w:t>
      </w:r>
      <w:proofErr w:type="spellStart"/>
      <w:r w:rsidRPr="005B2F70">
        <w:t>Erinnerns</w:t>
      </w:r>
      <w:proofErr w:type="spellEnd"/>
      <w:r w:rsidRPr="005B2F70">
        <w:t xml:space="preserve">. </w:t>
      </w:r>
      <w:proofErr w:type="spellStart"/>
      <w:r w:rsidRPr="005B2F70">
        <w:t>Museen</w:t>
      </w:r>
      <w:proofErr w:type="spellEnd"/>
      <w:r w:rsidRPr="005B2F70">
        <w:t xml:space="preserve">, </w:t>
      </w:r>
      <w:proofErr w:type="spellStart"/>
      <w:r w:rsidRPr="005B2F70">
        <w:t>Gedenkstätten</w:t>
      </w:r>
      <w:proofErr w:type="spellEnd"/>
      <w:r w:rsidRPr="005B2F70">
        <w:t xml:space="preserve"> </w:t>
      </w:r>
      <w:proofErr w:type="spellStart"/>
      <w:r w:rsidRPr="005B2F70">
        <w:t>und</w:t>
      </w:r>
      <w:proofErr w:type="spellEnd"/>
      <w:r w:rsidRPr="005B2F70">
        <w:t xml:space="preserve"> </w:t>
      </w:r>
      <w:proofErr w:type="spellStart"/>
      <w:r w:rsidRPr="005B2F70">
        <w:t>Erinnerungszeichen</w:t>
      </w:r>
      <w:proofErr w:type="spellEnd"/>
      <w:r w:rsidRPr="005B2F70">
        <w:t xml:space="preserve"> </w:t>
      </w:r>
      <w:proofErr w:type="spellStart"/>
      <w:r w:rsidRPr="005B2F70">
        <w:t>zu</w:t>
      </w:r>
      <w:proofErr w:type="spellEnd"/>
      <w:r w:rsidRPr="005B2F70">
        <w:t xml:space="preserve"> </w:t>
      </w:r>
      <w:proofErr w:type="spellStart"/>
      <w:r w:rsidRPr="005B2F70">
        <w:t>den</w:t>
      </w:r>
      <w:proofErr w:type="spellEnd"/>
      <w:r w:rsidRPr="005B2F70">
        <w:t xml:space="preserve"> </w:t>
      </w:r>
      <w:proofErr w:type="spellStart"/>
      <w:r w:rsidRPr="005B2F70">
        <w:t>Opfern</w:t>
      </w:r>
      <w:proofErr w:type="spellEnd"/>
      <w:r w:rsidRPr="005B2F70">
        <w:t xml:space="preserve"> </w:t>
      </w:r>
      <w:proofErr w:type="spellStart"/>
      <w:r w:rsidRPr="005B2F70">
        <w:t>kommunistischer</w:t>
      </w:r>
      <w:proofErr w:type="spellEnd"/>
      <w:r w:rsidRPr="005B2F70">
        <w:t xml:space="preserve"> </w:t>
      </w:r>
      <w:proofErr w:type="spellStart"/>
      <w:r w:rsidRPr="005B2F70">
        <w:t>Diktaturen</w:t>
      </w:r>
      <w:proofErr w:type="spellEnd"/>
      <w:r w:rsidRPr="005B2F70">
        <w:t xml:space="preserve"> [Электронный ресурс] // </w:t>
      </w:r>
      <w:proofErr w:type="spellStart"/>
      <w:r w:rsidRPr="005B2F70">
        <w:t>Orte</w:t>
      </w:r>
      <w:proofErr w:type="spellEnd"/>
      <w:r w:rsidRPr="005B2F70">
        <w:t xml:space="preserve"> </w:t>
      </w:r>
      <w:proofErr w:type="spellStart"/>
      <w:r w:rsidRPr="005B2F70">
        <w:t>des</w:t>
      </w:r>
      <w:proofErr w:type="spellEnd"/>
      <w:r w:rsidRPr="005B2F70">
        <w:t xml:space="preserve"> </w:t>
      </w:r>
      <w:proofErr w:type="spellStart"/>
      <w:r w:rsidRPr="005B2F70">
        <w:t>Erinnerns</w:t>
      </w:r>
      <w:proofErr w:type="spellEnd"/>
      <w:r w:rsidRPr="005B2F70">
        <w:t xml:space="preserve">: [официальный портал]. </w:t>
      </w:r>
      <w:r w:rsidRPr="004C53A4">
        <w:t xml:space="preserve">2025. </w:t>
      </w:r>
      <w:r w:rsidRPr="005B2F70">
        <w:rPr>
          <w:lang w:val="en-US"/>
        </w:rPr>
        <w:t>URL</w:t>
      </w:r>
      <w:r w:rsidRPr="005B2F70">
        <w:t>:</w:t>
      </w:r>
      <w:r w:rsidRPr="005B2F70">
        <w:rPr>
          <w:rStyle w:val="apple-converted-space"/>
          <w:rFonts w:eastAsiaTheme="majorEastAsia"/>
          <w:lang w:val="en-US"/>
        </w:rPr>
        <w:t> </w:t>
      </w:r>
      <w:r w:rsidR="005B2F70" w:rsidRPr="005B2F70">
        <w:t>https://www.orte-des-erinnerns.de/map/</w:t>
      </w:r>
      <w:r w:rsidRPr="005B2F70">
        <w:rPr>
          <w:rStyle w:val="apple-converted-space"/>
          <w:rFonts w:eastAsiaTheme="majorEastAsia"/>
          <w:lang w:val="en-US"/>
        </w:rPr>
        <w:t> </w:t>
      </w:r>
      <w:r w:rsidRPr="005B2F70">
        <w:t>(дата обращения: 28.02.2026).</w:t>
      </w:r>
    </w:p>
    <w:sectPr w:rsidR="0057417E" w:rsidRPr="005B2F70" w:rsidSect="00140D55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4FE8" w14:textId="77777777" w:rsidR="00C22BBD" w:rsidRDefault="00C22BBD" w:rsidP="00812A85">
      <w:pPr>
        <w:spacing w:after="0" w:line="240" w:lineRule="auto"/>
      </w:pPr>
      <w:r>
        <w:separator/>
      </w:r>
    </w:p>
  </w:endnote>
  <w:endnote w:type="continuationSeparator" w:id="0">
    <w:p w14:paraId="4934613C" w14:textId="77777777" w:rsidR="00C22BBD" w:rsidRDefault="00C22BBD" w:rsidP="0081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A0D1" w14:textId="77777777" w:rsidR="00C22BBD" w:rsidRDefault="00C22BBD" w:rsidP="00812A85">
      <w:pPr>
        <w:spacing w:after="0" w:line="240" w:lineRule="auto"/>
      </w:pPr>
      <w:r>
        <w:separator/>
      </w:r>
    </w:p>
  </w:footnote>
  <w:footnote w:type="continuationSeparator" w:id="0">
    <w:p w14:paraId="0A214873" w14:textId="77777777" w:rsidR="00C22BBD" w:rsidRDefault="00C22BBD" w:rsidP="00812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D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4E733E"/>
    <w:multiLevelType w:val="hybridMultilevel"/>
    <w:tmpl w:val="3E826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B7DED"/>
    <w:multiLevelType w:val="hybridMultilevel"/>
    <w:tmpl w:val="9B7A4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6824A3F"/>
    <w:multiLevelType w:val="hybridMultilevel"/>
    <w:tmpl w:val="4692A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739103">
    <w:abstractNumId w:val="2"/>
  </w:num>
  <w:num w:numId="2" w16cid:durableId="392385527">
    <w:abstractNumId w:val="3"/>
  </w:num>
  <w:num w:numId="3" w16cid:durableId="1609892737">
    <w:abstractNumId w:val="1"/>
  </w:num>
  <w:num w:numId="4" w16cid:durableId="189349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55"/>
    <w:rsid w:val="00011E10"/>
    <w:rsid w:val="00043F08"/>
    <w:rsid w:val="0010156A"/>
    <w:rsid w:val="00140D55"/>
    <w:rsid w:val="0020536F"/>
    <w:rsid w:val="00462127"/>
    <w:rsid w:val="0046600E"/>
    <w:rsid w:val="00477C0B"/>
    <w:rsid w:val="00480126"/>
    <w:rsid w:val="004C53A4"/>
    <w:rsid w:val="0053714E"/>
    <w:rsid w:val="00547F0F"/>
    <w:rsid w:val="0057417E"/>
    <w:rsid w:val="005A568B"/>
    <w:rsid w:val="005B2F70"/>
    <w:rsid w:val="00614134"/>
    <w:rsid w:val="006318EF"/>
    <w:rsid w:val="00632277"/>
    <w:rsid w:val="007C5403"/>
    <w:rsid w:val="007E0CC7"/>
    <w:rsid w:val="00812A85"/>
    <w:rsid w:val="00814B02"/>
    <w:rsid w:val="00817D55"/>
    <w:rsid w:val="008A4071"/>
    <w:rsid w:val="008B152F"/>
    <w:rsid w:val="00993686"/>
    <w:rsid w:val="00A5086E"/>
    <w:rsid w:val="00B20989"/>
    <w:rsid w:val="00C12FF0"/>
    <w:rsid w:val="00C22BBD"/>
    <w:rsid w:val="00C46DBF"/>
    <w:rsid w:val="00CC346E"/>
    <w:rsid w:val="00CC63DC"/>
    <w:rsid w:val="00DD08E0"/>
    <w:rsid w:val="00E2224A"/>
    <w:rsid w:val="00E57602"/>
    <w:rsid w:val="00EB6340"/>
    <w:rsid w:val="00EF6AF2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68C2E"/>
  <w15:chartTrackingRefBased/>
  <w15:docId w15:val="{68358B5B-9320-E741-A540-57FDD68F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D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0D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0D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0D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0D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0D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D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0D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0D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0D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0D5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4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tab-span">
    <w:name w:val="apple-tab-span"/>
    <w:basedOn w:val="a0"/>
    <w:rsid w:val="00140D55"/>
  </w:style>
  <w:style w:type="character" w:customStyle="1" w:styleId="apple-converted-space">
    <w:name w:val="apple-converted-space"/>
    <w:basedOn w:val="a0"/>
    <w:rsid w:val="00812A85"/>
  </w:style>
  <w:style w:type="character" w:styleId="ad">
    <w:name w:val="Emphasis"/>
    <w:basedOn w:val="a0"/>
    <w:uiPriority w:val="20"/>
    <w:qFormat/>
    <w:rsid w:val="00812A85"/>
    <w:rPr>
      <w:i/>
      <w:iCs/>
    </w:rPr>
  </w:style>
  <w:style w:type="paragraph" w:styleId="ae">
    <w:name w:val="footnote text"/>
    <w:basedOn w:val="a"/>
    <w:link w:val="af"/>
    <w:uiPriority w:val="99"/>
    <w:unhideWhenUsed/>
    <w:rsid w:val="00812A8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812A85"/>
    <w:rPr>
      <w:rFonts w:eastAsiaTheme="minorEastAsia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12A85"/>
    <w:rPr>
      <w:vertAlign w:val="superscript"/>
    </w:rPr>
  </w:style>
  <w:style w:type="character" w:styleId="af1">
    <w:name w:val="Hyperlink"/>
    <w:basedOn w:val="a0"/>
    <w:uiPriority w:val="99"/>
    <w:semiHidden/>
    <w:unhideWhenUsed/>
    <w:rsid w:val="0057417E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5B2F70"/>
    <w:rPr>
      <w:color w:val="96607D" w:themeColor="followedHyperlink"/>
      <w:u w:val="single"/>
    </w:rPr>
  </w:style>
  <w:style w:type="character" w:styleId="af3">
    <w:name w:val="Strong"/>
    <w:basedOn w:val="a0"/>
    <w:uiPriority w:val="22"/>
    <w:qFormat/>
    <w:rsid w:val="004C5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5A5679-5B9C-8C4D-91FC-FE8DD237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Рожнов</dc:creator>
  <cp:keywords/>
  <dc:description/>
  <cp:lastModifiedBy>Роман Рожнов</cp:lastModifiedBy>
  <cp:revision>33</cp:revision>
  <dcterms:created xsi:type="dcterms:W3CDTF">2026-02-12T11:59:00Z</dcterms:created>
  <dcterms:modified xsi:type="dcterms:W3CDTF">2026-03-04T08:16:00Z</dcterms:modified>
</cp:coreProperties>
</file>