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Короткова София Дмитриевна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"mailto:sophia.korotkova@yandex.ru"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sophia.korotkova@yandex.ru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Факультет иностранных языков и регионоведения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Москва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«Агония эроса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нарциссизм и невозможность Другого в философии Бён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Чхоль Хана и античной традиции»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Постановка проблемы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Современная культура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характеризуемая Бён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Чхоль Ханом как «общество достижений»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порождает системные деформации в сфере межличностных отношений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Ключевым следствием этих процессов выступает прогрессирующая эрозия способности воспринимать инаковость Другого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ставит под вопрос саму возможность подлинного эротического опыта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классическая философская традиция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восходящая к Платону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мыслит эрос как фундаментальную силу трансценденции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выхода за пределы собственного «Я» навстречу Другому и вечным идеям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Возникает противоречие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условиях тотальной позитивизации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самооптимизации и нарциссической замкнутости эрос либо редуцируется до симулякра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оказывается принципиально недостижимым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и задачи исследования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 настоящей работы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выявить условия невозможности подлинного эроса в современном обществе через сопоставление античной концепции эроса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Гомер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Гесиод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Платон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критической диагностики современности Бён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Чхоль Хана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Задачи</w:t>
      </w:r>
      <w:r>
        <w:rPr>
          <w:rFonts w:ascii="Times New Roman" w:hAnsi="Times New Roman"/>
          <w:sz w:val="24"/>
          <w:szCs w:val="24"/>
          <w:rtl w:val="0"/>
        </w:rPr>
        <w:t xml:space="preserve">: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Реконструировать античное понимание эроса как силы трансценденции и «божественного безумия»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мании</w:t>
      </w:r>
      <w:r>
        <w:rPr>
          <w:rFonts w:ascii="Times New Roman" w:hAnsi="Times New Roman"/>
          <w:sz w:val="24"/>
          <w:szCs w:val="24"/>
          <w:rtl w:val="0"/>
        </w:rPr>
        <w:t xml:space="preserve">).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Раскрыть феномен нарциссизма в его мифологических и психоаналитических истоках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Овидий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Фрейд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антипода эроса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Проанализировать механизмы «общества достижений»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катализирующие нарциссический тип личности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самоэксплуатация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 позитива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утрата дистанции</w:t>
      </w:r>
      <w:r>
        <w:rPr>
          <w:rFonts w:ascii="Times New Roman" w:hAnsi="Times New Roman"/>
          <w:sz w:val="24"/>
          <w:szCs w:val="24"/>
          <w:rtl w:val="0"/>
        </w:rPr>
        <w:t xml:space="preserve">).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Показать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образом исчезновение Другого как инаковости ведёт к подмене любви её симулякром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Обосновать тезис о «смерти эго» как необходимом условии подлинной эротической встречи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Эрос как трансценденция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античной традиции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Гомер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Гесиод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Платон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эрос понимается как сила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выводящая человека за пределы самого себя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Платона эрос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«мания»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божественное безумие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ведущее душу от чувственного к идеальному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от конкретного тела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 созерцанию вечной Красоты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Эрос возможен только при встрече с Другим как иным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сводимым к моему «Я»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Нарциссизм как антипод эроса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отличие от эроса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нарциссизм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 Овидия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концептуализация Фрейда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замыкает либидо на себе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Нарцисс не способен к подлинной встрече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видит в Другом лишь собственное отражение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себялюбие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неспособность к различению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граница между «Я» и миром стирается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инаковость Другого не воспринимается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Общество достижений как фабрика нарциссов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Бён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Чхоль Хан диагностирует современное общество как «общество достижений»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индивид становится предпринимателем самого себя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Самоэксплуатация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 позитива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перформативность и отсутствие негативности ведут к тому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Другой исчезает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он превращается в проекцию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ресурс или зеркало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Утрата Другого и симуляция близости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цифровую эпоху исчезает дистанция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необходимая для подлинной встречи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Близость подменяется доступностью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любовь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позитивным переживанием без риска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Хан подчёркивает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любовь требует негативности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отказа от контроля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уязвимости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Смерть эго как условие любви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Подлинный эрос возможен только через временное упразднение эго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уничтожение себя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экстатический выход за свои пределы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Любящий «умирает в себе»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«воскреснуть в Другом»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Дар Другого преображает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присваивает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выводы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Античный эрос и нарциссизм представляют собой антагонистические модусы отношения к Другому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направлен на трансценденцию и признание инаковости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второй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поглощение Другого проекциями собственного «Я»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«Общество достижений» выступает системным катализатором нарциссического типа личности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логика самооптимизации и тотального позитива делает невозможным опыт уязвимости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отказа от контроля и подлинной встречи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Подлинный эрос требует «негативности»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риска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временной смерти эго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 принципиально несовместимо с установками современной культуры на управляемость и эффективность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Сопоставление Платона и Хана обнажает радикальную редукцию любви в современности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восхождения к Идее к менеджменту отношений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Эрос редуцирован до симулякра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Другой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до функции в проекте «успешной жизни»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Итоговый вопрос исследования остаётся открытым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способен ли эрос вернуться как подлинная сила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он навсегда останется лишь «агонией»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напоминанием об утраченном измерении человеческого бытия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встреча с Другим была не обменом услугами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совместным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рискованным и преображающим восхождением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Список литературы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</w:rPr>
        <w:t>Овидий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Метаморфозы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пер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 лат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Шервинского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Художественная литература</w:t>
      </w:r>
      <w:r>
        <w:rPr>
          <w:rFonts w:ascii="Times New Roman" w:hAnsi="Times New Roman"/>
          <w:sz w:val="24"/>
          <w:szCs w:val="24"/>
          <w:rtl w:val="0"/>
        </w:rPr>
        <w:t xml:space="preserve">, 1977.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 430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>Хан 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Агония эроса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пер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 нем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Шурбелева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СПб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Издательство Ивана Лимбаха</w:t>
      </w:r>
      <w:r>
        <w:rPr>
          <w:rFonts w:ascii="Times New Roman" w:hAnsi="Times New Roman"/>
          <w:sz w:val="24"/>
          <w:szCs w:val="24"/>
          <w:rtl w:val="0"/>
        </w:rPr>
        <w:t xml:space="preserve">, 2018.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 112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>Фрейд 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введении понятия «нарциссизм»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</w:rPr>
        <w:t>Фрейд 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Собрание сочинений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</w:rPr>
        <w:t>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</w:rPr>
        <w:t>Фирма СТД</w:t>
      </w:r>
      <w:r>
        <w:rPr>
          <w:rFonts w:ascii="Times New Roman" w:hAnsi="Times New Roman"/>
          <w:sz w:val="24"/>
          <w:szCs w:val="24"/>
          <w:rtl w:val="0"/>
        </w:rPr>
        <w:t xml:space="preserve">, 2006.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Т</w:t>
      </w:r>
      <w:r>
        <w:rPr>
          <w:rFonts w:ascii="Times New Roman" w:hAnsi="Times New Roman"/>
          <w:sz w:val="24"/>
          <w:szCs w:val="24"/>
          <w:rtl w:val="0"/>
        </w:rPr>
        <w:t xml:space="preserve">. 3.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С</w:t>
      </w:r>
      <w:r>
        <w:rPr>
          <w:rFonts w:ascii="Times New Roman" w:hAnsi="Times New Roman"/>
          <w:sz w:val="24"/>
          <w:szCs w:val="24"/>
          <w:rtl w:val="0"/>
        </w:rPr>
        <w:t>. 239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264.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Гесиод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Теогония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пер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 древнегреч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Вересаева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Гесиод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Полное собрание текстов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</w:rPr>
        <w:t>Лабиринт</w:t>
      </w:r>
      <w:r>
        <w:rPr>
          <w:rFonts w:ascii="Times New Roman" w:hAnsi="Times New Roman"/>
          <w:sz w:val="24"/>
          <w:szCs w:val="24"/>
          <w:rtl w:val="0"/>
        </w:rPr>
        <w:t xml:space="preserve">, 2001.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С</w:t>
      </w:r>
      <w:r>
        <w:rPr>
          <w:rFonts w:ascii="Times New Roman" w:hAnsi="Times New Roman"/>
          <w:sz w:val="24"/>
          <w:szCs w:val="24"/>
          <w:rtl w:val="0"/>
        </w:rPr>
        <w:t>. 21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>58.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</w:rPr>
        <w:t>Гомер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Илиада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пер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 древнегреч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Гнедича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Л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</w:rPr>
        <w:t>Наука</w:t>
      </w:r>
      <w:r>
        <w:rPr>
          <w:rFonts w:ascii="Times New Roman" w:hAnsi="Times New Roman"/>
          <w:sz w:val="24"/>
          <w:szCs w:val="24"/>
          <w:rtl w:val="0"/>
        </w:rPr>
        <w:t xml:space="preserve">, 1990.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 572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Литературные памятники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Платон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Пир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пер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 древнегреч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Апта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Платон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Собрание сочинений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</w:rPr>
        <w:t>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Мысль</w:t>
      </w:r>
      <w:r>
        <w:rPr>
          <w:rFonts w:ascii="Times New Roman" w:hAnsi="Times New Roman"/>
          <w:sz w:val="24"/>
          <w:szCs w:val="24"/>
          <w:rtl w:val="0"/>
        </w:rPr>
        <w:t xml:space="preserve">, 1993.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Т</w:t>
      </w:r>
      <w:r>
        <w:rPr>
          <w:rFonts w:ascii="Times New Roman" w:hAnsi="Times New Roman"/>
          <w:sz w:val="24"/>
          <w:szCs w:val="24"/>
          <w:rtl w:val="0"/>
        </w:rPr>
        <w:t xml:space="preserve">. 2.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С</w:t>
      </w:r>
      <w:r>
        <w:rPr>
          <w:rFonts w:ascii="Times New Roman" w:hAnsi="Times New Roman"/>
          <w:sz w:val="24"/>
          <w:szCs w:val="24"/>
          <w:rtl w:val="0"/>
        </w:rPr>
        <w:t>. 81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>134.</w:t>
      </w:r>
    </w:p>
    <w:p>
      <w:pPr>
        <w:pStyle w:val="Основной текст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Платон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Федр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пер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 древнегреч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Егунова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Платон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Собрание сочинений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</w:rPr>
        <w:t>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Мысль</w:t>
      </w:r>
      <w:r>
        <w:rPr>
          <w:rFonts w:ascii="Times New Roman" w:hAnsi="Times New Roman"/>
          <w:sz w:val="24"/>
          <w:szCs w:val="24"/>
          <w:rtl w:val="0"/>
        </w:rPr>
        <w:t xml:space="preserve">, 1993.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Т</w:t>
      </w:r>
      <w:r>
        <w:rPr>
          <w:rFonts w:ascii="Times New Roman" w:hAnsi="Times New Roman"/>
          <w:sz w:val="24"/>
          <w:szCs w:val="24"/>
          <w:rtl w:val="0"/>
        </w:rPr>
        <w:t xml:space="preserve">. 2.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С</w:t>
      </w:r>
      <w:r>
        <w:rPr>
          <w:rFonts w:ascii="Times New Roman" w:hAnsi="Times New Roman"/>
          <w:sz w:val="24"/>
          <w:szCs w:val="24"/>
          <w:rtl w:val="0"/>
        </w:rPr>
        <w:t>. 135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191.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