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A7AD" w14:textId="2BF1E0CE" w:rsidR="00397D22" w:rsidRDefault="00BC7D83" w:rsidP="00CC59D5">
      <w:pPr>
        <w:spacing w:line="240" w:lineRule="auto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Формирование системы</w:t>
      </w:r>
      <w:r w:rsidR="00CC59D5">
        <w:rPr>
          <w:b/>
          <w:bCs/>
          <w:sz w:val="24"/>
          <w:szCs w:val="20"/>
        </w:rPr>
        <w:t xml:space="preserve"> показателей эффективности стратегического управления научно-техническим потенциалом высших школ </w:t>
      </w:r>
      <w:r>
        <w:rPr>
          <w:b/>
          <w:bCs/>
          <w:sz w:val="24"/>
          <w:szCs w:val="20"/>
        </w:rPr>
        <w:t>в интересах</w:t>
      </w:r>
      <w:r w:rsidR="00CC59D5">
        <w:rPr>
          <w:b/>
          <w:bCs/>
          <w:sz w:val="24"/>
          <w:szCs w:val="20"/>
        </w:rPr>
        <w:t xml:space="preserve"> инновационно</w:t>
      </w:r>
      <w:r>
        <w:rPr>
          <w:b/>
          <w:bCs/>
          <w:sz w:val="24"/>
          <w:szCs w:val="20"/>
        </w:rPr>
        <w:t>го</w:t>
      </w:r>
      <w:r w:rsidR="00CC59D5">
        <w:rPr>
          <w:b/>
          <w:bCs/>
          <w:sz w:val="24"/>
          <w:szCs w:val="20"/>
        </w:rPr>
        <w:t xml:space="preserve"> развити</w:t>
      </w:r>
      <w:r>
        <w:rPr>
          <w:b/>
          <w:bCs/>
          <w:sz w:val="24"/>
          <w:szCs w:val="20"/>
        </w:rPr>
        <w:t>я</w:t>
      </w:r>
      <w:r w:rsidR="00CC59D5">
        <w:rPr>
          <w:b/>
          <w:bCs/>
          <w:sz w:val="24"/>
          <w:szCs w:val="20"/>
        </w:rPr>
        <w:t xml:space="preserve"> экономики</w:t>
      </w:r>
      <w:r w:rsidR="00E86C37">
        <w:rPr>
          <w:b/>
          <w:bCs/>
          <w:sz w:val="24"/>
          <w:szCs w:val="20"/>
        </w:rPr>
        <w:t xml:space="preserve"> России</w:t>
      </w:r>
    </w:p>
    <w:p w14:paraId="43998817" w14:textId="4254D6A3" w:rsidR="00CC59D5" w:rsidRPr="00CC59D5" w:rsidRDefault="00CC59D5" w:rsidP="00CC59D5">
      <w:pPr>
        <w:spacing w:line="240" w:lineRule="auto"/>
        <w:ind w:firstLine="0"/>
        <w:jc w:val="center"/>
        <w:rPr>
          <w:b/>
          <w:bCs/>
          <w:i/>
          <w:iCs/>
          <w:sz w:val="24"/>
          <w:szCs w:val="20"/>
        </w:rPr>
      </w:pPr>
      <w:r w:rsidRPr="00CC59D5">
        <w:rPr>
          <w:b/>
          <w:bCs/>
          <w:i/>
          <w:iCs/>
          <w:sz w:val="24"/>
          <w:szCs w:val="20"/>
        </w:rPr>
        <w:t>Морозов В.А.</w:t>
      </w:r>
    </w:p>
    <w:p w14:paraId="5E98B475" w14:textId="6C99848E" w:rsidR="00CC59D5" w:rsidRDefault="00CC59D5" w:rsidP="00CC59D5">
      <w:pPr>
        <w:spacing w:line="240" w:lineRule="auto"/>
        <w:ind w:firstLine="0"/>
        <w:jc w:val="center"/>
        <w:rPr>
          <w:i/>
          <w:iCs/>
          <w:sz w:val="24"/>
          <w:szCs w:val="20"/>
        </w:rPr>
      </w:pPr>
      <w:r w:rsidRPr="00CC59D5">
        <w:rPr>
          <w:i/>
          <w:iCs/>
          <w:sz w:val="24"/>
          <w:szCs w:val="20"/>
        </w:rPr>
        <w:t>Старший преподаватель кафедры экономики</w:t>
      </w:r>
    </w:p>
    <w:p w14:paraId="57F0CA55" w14:textId="06DCC17C" w:rsidR="00CC59D5" w:rsidRDefault="00CC59D5" w:rsidP="00CC59D5">
      <w:pPr>
        <w:spacing w:line="240" w:lineRule="auto"/>
        <w:ind w:firstLine="0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МИРЭА-Российский технологический университет</w:t>
      </w:r>
      <w:r w:rsidR="00EF77CF">
        <w:rPr>
          <w:i/>
          <w:iCs/>
          <w:sz w:val="24"/>
          <w:szCs w:val="20"/>
        </w:rPr>
        <w:t>, Москва, Россия</w:t>
      </w:r>
    </w:p>
    <w:p w14:paraId="1822D955" w14:textId="36DDD585" w:rsidR="00CC59D5" w:rsidRPr="00F8518C" w:rsidRDefault="00C54A1F" w:rsidP="00CC59D5">
      <w:pPr>
        <w:spacing w:line="240" w:lineRule="auto"/>
        <w:ind w:firstLine="0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  <w:lang w:val="en-US"/>
        </w:rPr>
        <w:t>e</w:t>
      </w:r>
      <w:r w:rsidRPr="00F8518C">
        <w:rPr>
          <w:i/>
          <w:iCs/>
          <w:sz w:val="24"/>
          <w:szCs w:val="20"/>
        </w:rPr>
        <w:t>-</w:t>
      </w:r>
      <w:r>
        <w:rPr>
          <w:i/>
          <w:iCs/>
          <w:sz w:val="24"/>
          <w:szCs w:val="20"/>
          <w:lang w:val="en-US"/>
        </w:rPr>
        <w:t>mail</w:t>
      </w:r>
      <w:r w:rsidRPr="00F8518C">
        <w:rPr>
          <w:i/>
          <w:iCs/>
          <w:sz w:val="24"/>
          <w:szCs w:val="20"/>
        </w:rPr>
        <w:t xml:space="preserve">: </w:t>
      </w:r>
      <w:proofErr w:type="spellStart"/>
      <w:r w:rsidR="00CC59D5">
        <w:rPr>
          <w:i/>
          <w:iCs/>
          <w:sz w:val="24"/>
          <w:szCs w:val="20"/>
          <w:lang w:val="en-US"/>
        </w:rPr>
        <w:t>morozicus</w:t>
      </w:r>
      <w:proofErr w:type="spellEnd"/>
      <w:r w:rsidR="00CC59D5" w:rsidRPr="00F8518C">
        <w:rPr>
          <w:i/>
          <w:iCs/>
          <w:sz w:val="24"/>
          <w:szCs w:val="20"/>
        </w:rPr>
        <w:t>2017@</w:t>
      </w:r>
      <w:proofErr w:type="spellStart"/>
      <w:r w:rsidR="00CC59D5">
        <w:rPr>
          <w:i/>
          <w:iCs/>
          <w:sz w:val="24"/>
          <w:szCs w:val="20"/>
          <w:lang w:val="en-US"/>
        </w:rPr>
        <w:t>gmail</w:t>
      </w:r>
      <w:proofErr w:type="spellEnd"/>
      <w:r w:rsidR="00CC59D5" w:rsidRPr="00F8518C">
        <w:rPr>
          <w:i/>
          <w:iCs/>
          <w:sz w:val="24"/>
          <w:szCs w:val="20"/>
        </w:rPr>
        <w:t>.</w:t>
      </w:r>
      <w:r w:rsidR="00CC59D5">
        <w:rPr>
          <w:i/>
          <w:iCs/>
          <w:sz w:val="24"/>
          <w:szCs w:val="20"/>
          <w:lang w:val="en-US"/>
        </w:rPr>
        <w:t>com</w:t>
      </w:r>
    </w:p>
    <w:p w14:paraId="1576E74D" w14:textId="491D8EC3" w:rsidR="00EF77CF" w:rsidRPr="00F44ED7" w:rsidRDefault="002E3124" w:rsidP="00EF77CF">
      <w:pPr>
        <w:spacing w:line="240" w:lineRule="auto"/>
        <w:ind w:firstLine="397"/>
        <w:rPr>
          <w:sz w:val="24"/>
          <w:szCs w:val="20"/>
        </w:rPr>
      </w:pPr>
      <w:r w:rsidRPr="00EF77CF">
        <w:rPr>
          <w:sz w:val="24"/>
          <w:szCs w:val="20"/>
        </w:rPr>
        <w:t>Стратегическое управление является</w:t>
      </w:r>
      <w:r w:rsidR="00F8518C" w:rsidRPr="00EF77CF">
        <w:rPr>
          <w:sz w:val="24"/>
          <w:szCs w:val="20"/>
        </w:rPr>
        <w:t xml:space="preserve"> неотъемлемой частью </w:t>
      </w:r>
      <w:r w:rsidR="00855F27" w:rsidRPr="00EF77CF">
        <w:rPr>
          <w:sz w:val="24"/>
          <w:szCs w:val="20"/>
        </w:rPr>
        <w:t xml:space="preserve">процесса разработки и реализации стратегии. Согласно академику В.Л. Квинту модель система стратегического управления состоит из пяти основных компонентов: стратегическое лидерство, организационная структура, </w:t>
      </w:r>
      <w:r w:rsidR="00EF77CF" w:rsidRPr="00EF77CF">
        <w:rPr>
          <w:sz w:val="24"/>
          <w:szCs w:val="20"/>
        </w:rPr>
        <w:t>высшее руководство и менеджеры, процесс принятия стратегических решений и управленческие инструменты, инфраструктура, информационные технологии</w:t>
      </w:r>
      <w:r w:rsidR="00B66E5E" w:rsidRPr="00B66E5E">
        <w:rPr>
          <w:sz w:val="24"/>
          <w:szCs w:val="20"/>
        </w:rPr>
        <w:t xml:space="preserve"> [1,2]</w:t>
      </w:r>
      <w:r w:rsidR="00EF77CF" w:rsidRPr="00EF77CF">
        <w:rPr>
          <w:sz w:val="24"/>
          <w:szCs w:val="20"/>
        </w:rPr>
        <w:t>.</w:t>
      </w:r>
      <w:r w:rsidRPr="00EF77CF">
        <w:rPr>
          <w:sz w:val="24"/>
          <w:szCs w:val="20"/>
        </w:rPr>
        <w:t xml:space="preserve"> </w:t>
      </w:r>
      <w:r w:rsidR="00EF77CF" w:rsidRPr="00EF77CF">
        <w:rPr>
          <w:sz w:val="24"/>
          <w:szCs w:val="20"/>
        </w:rPr>
        <w:t>Одной из наиболее важных функций стратегического управления является стратегический мониторинг. Как отмечает И.В. Новикова, от своевременности и маневренности системы стратегического мониторинга и контроля будет зависеть конкурентоспособность объекта стратегирования в современных и будущих условиях</w:t>
      </w:r>
      <w:r w:rsidR="00B66E5E" w:rsidRPr="00B66E5E">
        <w:rPr>
          <w:sz w:val="24"/>
          <w:szCs w:val="20"/>
        </w:rPr>
        <w:t xml:space="preserve"> [</w:t>
      </w:r>
      <w:r w:rsidR="006F3389" w:rsidRPr="006F3389">
        <w:rPr>
          <w:sz w:val="24"/>
          <w:szCs w:val="20"/>
        </w:rPr>
        <w:t>4</w:t>
      </w:r>
      <w:r w:rsidR="00B66E5E" w:rsidRPr="00B66E5E">
        <w:rPr>
          <w:sz w:val="24"/>
          <w:szCs w:val="20"/>
        </w:rPr>
        <w:t>]</w:t>
      </w:r>
      <w:r w:rsidR="00EF77CF" w:rsidRPr="00EF77CF">
        <w:rPr>
          <w:sz w:val="24"/>
          <w:szCs w:val="20"/>
        </w:rPr>
        <w:t>.</w:t>
      </w:r>
      <w:r w:rsidR="00EF77CF">
        <w:rPr>
          <w:sz w:val="24"/>
          <w:szCs w:val="20"/>
        </w:rPr>
        <w:t xml:space="preserve"> Одной из наиболее сложных государственных задач в настоящее время является развитие научного, технологического и инновационного потенциалов. Важную роль в этих процессах играет высшая школа и ее подразделения</w:t>
      </w:r>
      <w:r w:rsidR="006F3389">
        <w:rPr>
          <w:sz w:val="24"/>
          <w:szCs w:val="20"/>
        </w:rPr>
        <w:t xml:space="preserve"> </w:t>
      </w:r>
      <w:r w:rsidR="006F3389" w:rsidRPr="006F3389">
        <w:rPr>
          <w:sz w:val="24"/>
          <w:szCs w:val="20"/>
        </w:rPr>
        <w:t>[5,6]</w:t>
      </w:r>
      <w:r w:rsidR="00EF77CF">
        <w:rPr>
          <w:sz w:val="24"/>
          <w:szCs w:val="20"/>
        </w:rPr>
        <w:t>.</w:t>
      </w:r>
    </w:p>
    <w:p w14:paraId="4B2A877B" w14:textId="071B823B" w:rsidR="00C54A1F" w:rsidRDefault="00AB7BCD" w:rsidP="00CC59D5">
      <w:pPr>
        <w:spacing w:line="240" w:lineRule="auto"/>
        <w:ind w:firstLine="397"/>
        <w:rPr>
          <w:sz w:val="24"/>
          <w:szCs w:val="20"/>
        </w:rPr>
      </w:pPr>
      <w:r w:rsidRPr="006569F5">
        <w:rPr>
          <w:sz w:val="24"/>
          <w:szCs w:val="20"/>
        </w:rPr>
        <w:t>Научно-технический потенциал высшей школы – это совокупность трудовых, технических, материальных, информационных ресурсов и ресурсов организации и управления, отвечающих требованиям данного этапа научно-технического прогресса, а также результаты научно-технической деятельности</w:t>
      </w:r>
      <w:r w:rsidRPr="00AB7BCD">
        <w:rPr>
          <w:sz w:val="24"/>
          <w:szCs w:val="20"/>
        </w:rPr>
        <w:t>, взаимосвязанные и взаимодействующие между собой и внешней средой в определенных организационно-управленческих условиях для решения задач текущего и стратегического развития страны</w:t>
      </w:r>
      <w:r w:rsidR="006F3389" w:rsidRPr="006F3389">
        <w:rPr>
          <w:sz w:val="24"/>
          <w:szCs w:val="20"/>
        </w:rPr>
        <w:t xml:space="preserve"> [3]</w:t>
      </w:r>
      <w:r w:rsidRPr="00AB7BCD">
        <w:rPr>
          <w:sz w:val="24"/>
          <w:szCs w:val="20"/>
        </w:rPr>
        <w:t>.</w:t>
      </w:r>
      <w:r>
        <w:rPr>
          <w:sz w:val="24"/>
          <w:szCs w:val="20"/>
        </w:rPr>
        <w:t xml:space="preserve"> Отсутствие единой сис</w:t>
      </w:r>
      <w:r w:rsidR="000B2477">
        <w:rPr>
          <w:sz w:val="24"/>
          <w:szCs w:val="20"/>
        </w:rPr>
        <w:t xml:space="preserve">темы организации подразделений, формирующих научно-технический потенциал </w:t>
      </w:r>
      <w:r w:rsidR="006569F5">
        <w:rPr>
          <w:sz w:val="24"/>
          <w:szCs w:val="20"/>
        </w:rPr>
        <w:t>высшей школы,</w:t>
      </w:r>
      <w:r w:rsidR="000B2477">
        <w:rPr>
          <w:sz w:val="24"/>
          <w:szCs w:val="20"/>
        </w:rPr>
        <w:t xml:space="preserve"> позволяет </w:t>
      </w:r>
      <w:r w:rsidR="00855F27">
        <w:rPr>
          <w:sz w:val="24"/>
          <w:szCs w:val="20"/>
        </w:rPr>
        <w:t xml:space="preserve">в рамках стратегического управления </w:t>
      </w:r>
      <w:r w:rsidR="000B2477">
        <w:rPr>
          <w:sz w:val="24"/>
          <w:szCs w:val="20"/>
        </w:rPr>
        <w:t xml:space="preserve">предложить организационную структуру, состоящую из следующих компонентов: внешняя среда, инструментарий </w:t>
      </w:r>
      <w:r w:rsidR="000B2477">
        <w:rPr>
          <w:sz w:val="24"/>
          <w:szCs w:val="20"/>
          <w:lang w:val="en-US"/>
        </w:rPr>
        <w:t>I</w:t>
      </w:r>
      <w:r w:rsidR="000B2477">
        <w:rPr>
          <w:sz w:val="24"/>
          <w:szCs w:val="20"/>
        </w:rPr>
        <w:t xml:space="preserve"> группы, инструментарий </w:t>
      </w:r>
      <w:r w:rsidR="006569F5">
        <w:rPr>
          <w:sz w:val="24"/>
          <w:szCs w:val="20"/>
          <w:lang w:val="en-US"/>
        </w:rPr>
        <w:t>II</w:t>
      </w:r>
      <w:r w:rsidR="000B2477">
        <w:rPr>
          <w:sz w:val="24"/>
          <w:szCs w:val="20"/>
        </w:rPr>
        <w:t xml:space="preserve"> гр</w:t>
      </w:r>
      <w:r w:rsidR="006569F5">
        <w:rPr>
          <w:sz w:val="24"/>
          <w:szCs w:val="20"/>
        </w:rPr>
        <w:t>уппы, администрация высшей школы. Для мониторинга функционирования предлагается выделить систему из 12 групп показателей, которые могут оказывать влияние как на развитие самой высшей школы, так и на развитие экономики государства в целом в интересах ее стратегии (таблица 1).</w:t>
      </w:r>
    </w:p>
    <w:p w14:paraId="74785772" w14:textId="77BD6C93" w:rsidR="00902D13" w:rsidRPr="006F3389" w:rsidRDefault="00902D13" w:rsidP="00CC59D5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Таблица 1. Список </w:t>
      </w:r>
      <w:r w:rsidR="006569F5">
        <w:rPr>
          <w:sz w:val="24"/>
          <w:szCs w:val="20"/>
        </w:rPr>
        <w:t xml:space="preserve">групп </w:t>
      </w:r>
      <w:r>
        <w:rPr>
          <w:sz w:val="24"/>
          <w:szCs w:val="20"/>
        </w:rPr>
        <w:t>показателей эффективности инструментов высшей школы</w:t>
      </w:r>
      <w:r w:rsidR="006F3389" w:rsidRPr="006F3389">
        <w:rPr>
          <w:sz w:val="24"/>
          <w:szCs w:val="20"/>
        </w:rPr>
        <w:t xml:space="preserve"> (</w:t>
      </w:r>
      <w:r w:rsidR="006F3389">
        <w:rPr>
          <w:sz w:val="24"/>
          <w:szCs w:val="20"/>
        </w:rPr>
        <w:t>составлено автором</w:t>
      </w:r>
      <w:r w:rsidR="006F3389" w:rsidRPr="006F3389">
        <w:rPr>
          <w:sz w:val="24"/>
          <w:szCs w:val="20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902D13" w14:paraId="7B5C7444" w14:textId="77777777" w:rsidTr="00902D13">
        <w:tc>
          <w:tcPr>
            <w:tcW w:w="4587" w:type="dxa"/>
          </w:tcPr>
          <w:p w14:paraId="78506FC7" w14:textId="1560FC14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Численность и удельный вес научных публикаций, сделанных участниками инструментария I и (или) II группы</w:t>
            </w:r>
          </w:p>
        </w:tc>
        <w:tc>
          <w:tcPr>
            <w:tcW w:w="4587" w:type="dxa"/>
          </w:tcPr>
          <w:p w14:paraId="40DD0D85" w14:textId="1A3F6246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 xml:space="preserve">Количество призеров и победителей городских, национальных, всероссийских и международных олимпиад, хакатонов, </w:t>
            </w:r>
            <w:proofErr w:type="spellStart"/>
            <w:r w:rsidRPr="00902D13">
              <w:rPr>
                <w:sz w:val="20"/>
                <w:szCs w:val="16"/>
              </w:rPr>
              <w:t>case-cup</w:t>
            </w:r>
            <w:proofErr w:type="spellEnd"/>
            <w:r w:rsidRPr="00902D13">
              <w:rPr>
                <w:sz w:val="20"/>
                <w:szCs w:val="16"/>
              </w:rPr>
              <w:t xml:space="preserve"> и др. среди участников инструментария I и (или) II группы</w:t>
            </w:r>
          </w:p>
        </w:tc>
      </w:tr>
      <w:tr w:rsidR="00902D13" w14:paraId="209ADE40" w14:textId="77777777" w:rsidTr="00902D13">
        <w:tc>
          <w:tcPr>
            <w:tcW w:w="4587" w:type="dxa"/>
          </w:tcPr>
          <w:p w14:paraId="24E54373" w14:textId="1E407C91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Численность и удельный вес проведенных участниками инструментария I и (или) II группы внешних и внутренних мероприятий</w:t>
            </w:r>
          </w:p>
        </w:tc>
        <w:tc>
          <w:tcPr>
            <w:tcW w:w="4587" w:type="dxa"/>
          </w:tcPr>
          <w:p w14:paraId="0A59583D" w14:textId="5F981010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Удельный вес</w:t>
            </w:r>
            <w:r w:rsidRPr="00280041">
              <w:rPr>
                <w:sz w:val="20"/>
                <w:szCs w:val="20"/>
              </w:rPr>
              <w:t xml:space="preserve"> ППС из участников инструментария </w:t>
            </w:r>
            <w:r w:rsidRPr="00280041">
              <w:rPr>
                <w:sz w:val="20"/>
                <w:szCs w:val="20"/>
                <w:lang w:val="en-US"/>
              </w:rPr>
              <w:t>I</w:t>
            </w:r>
            <w:r w:rsidRPr="00280041">
              <w:rPr>
                <w:sz w:val="20"/>
                <w:szCs w:val="20"/>
              </w:rPr>
              <w:t xml:space="preserve"> и (или) </w:t>
            </w:r>
            <w:r w:rsidRPr="00280041">
              <w:rPr>
                <w:sz w:val="20"/>
                <w:szCs w:val="20"/>
                <w:lang w:val="en-US"/>
              </w:rPr>
              <w:t>II</w:t>
            </w:r>
            <w:r w:rsidRPr="00280041">
              <w:rPr>
                <w:sz w:val="20"/>
                <w:szCs w:val="20"/>
              </w:rPr>
              <w:t xml:space="preserve"> группы</w:t>
            </w:r>
          </w:p>
        </w:tc>
      </w:tr>
      <w:tr w:rsidR="00902D13" w14:paraId="35E4B953" w14:textId="77777777" w:rsidTr="00902D13">
        <w:tc>
          <w:tcPr>
            <w:tcW w:w="4587" w:type="dxa"/>
          </w:tcPr>
          <w:p w14:paraId="704CF8AA" w14:textId="244EAC41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Количество привлеченных и выполненных проектов, НИОКР или грантов участниками инструментария I и (или) II группы</w:t>
            </w:r>
          </w:p>
        </w:tc>
        <w:tc>
          <w:tcPr>
            <w:tcW w:w="4587" w:type="dxa"/>
          </w:tcPr>
          <w:p w14:paraId="53EC9388" w14:textId="30E1AB7F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Удельный вес участников инструментария I и (или) II группы, продолживших обучение по программам следующего уровня</w:t>
            </w:r>
          </w:p>
        </w:tc>
      </w:tr>
      <w:tr w:rsidR="00902D13" w14:paraId="28231D49" w14:textId="77777777" w:rsidTr="00902D13">
        <w:tc>
          <w:tcPr>
            <w:tcW w:w="4587" w:type="dxa"/>
          </w:tcPr>
          <w:p w14:paraId="22A674BA" w14:textId="56AA9F76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Численность созданной и опубликованной участниками инструментария I и (или) II группы научной и прикладной литературы</w:t>
            </w:r>
          </w:p>
        </w:tc>
        <w:tc>
          <w:tcPr>
            <w:tcW w:w="4587" w:type="dxa"/>
          </w:tcPr>
          <w:p w14:paraId="66D8D9A9" w14:textId="16A01A80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Количество участников инструментария I и (или) II группы, ставших молодыми учеными (получившие степень кандидата наук до 35 лет, доктора наук до 40 лет)</w:t>
            </w:r>
          </w:p>
        </w:tc>
      </w:tr>
      <w:tr w:rsidR="00902D13" w14:paraId="46AC3FF8" w14:textId="77777777" w:rsidTr="00902D13">
        <w:tc>
          <w:tcPr>
            <w:tcW w:w="4587" w:type="dxa"/>
          </w:tcPr>
          <w:p w14:paraId="66273AC8" w14:textId="60DE0CB2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Численность и удельный вес проводимых совместных работ между инструментария I и (или) II группы (или их аналогами) высших школ</w:t>
            </w:r>
          </w:p>
        </w:tc>
        <w:tc>
          <w:tcPr>
            <w:tcW w:w="4587" w:type="dxa"/>
          </w:tcPr>
          <w:p w14:paraId="0A06EC84" w14:textId="3D8B22F9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Численность участников инструментария I и (или) II группы, реализовавшие свои проекты, стартапы в интересах образовательной организации</w:t>
            </w:r>
          </w:p>
        </w:tc>
      </w:tr>
      <w:tr w:rsidR="00902D13" w14:paraId="127DF7DE" w14:textId="77777777" w:rsidTr="00902D13">
        <w:tc>
          <w:tcPr>
            <w:tcW w:w="4587" w:type="dxa"/>
          </w:tcPr>
          <w:p w14:paraId="591EF9E3" w14:textId="3BA54317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Академическая успеваемость участников инструментария I и (или) II группы</w:t>
            </w:r>
          </w:p>
        </w:tc>
        <w:tc>
          <w:tcPr>
            <w:tcW w:w="4587" w:type="dxa"/>
          </w:tcPr>
          <w:p w14:paraId="14656FC8" w14:textId="7DE7EFBB" w:rsidR="00902D13" w:rsidRPr="00902D13" w:rsidRDefault="00902D13" w:rsidP="00902D13">
            <w:pPr>
              <w:spacing w:line="240" w:lineRule="auto"/>
              <w:ind w:firstLine="0"/>
              <w:jc w:val="center"/>
              <w:rPr>
                <w:sz w:val="20"/>
                <w:szCs w:val="16"/>
              </w:rPr>
            </w:pPr>
            <w:r w:rsidRPr="00902D13">
              <w:rPr>
                <w:sz w:val="20"/>
                <w:szCs w:val="16"/>
              </w:rPr>
              <w:t>Количество действующих участников инструментария I и (или) II группы в образовательной организации (в том числе иностранных обучающихся)</w:t>
            </w:r>
          </w:p>
        </w:tc>
      </w:tr>
    </w:tbl>
    <w:p w14:paraId="2115A2E3" w14:textId="60AF79C5" w:rsidR="00BC7D83" w:rsidRPr="00F44ED7" w:rsidRDefault="00637D7D" w:rsidP="00BC7D83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Сформированная система показателей может быть уточнена </w:t>
      </w:r>
      <w:r w:rsidR="00BC7D83">
        <w:rPr>
          <w:sz w:val="24"/>
          <w:szCs w:val="20"/>
        </w:rPr>
        <w:t xml:space="preserve">и скоррелирована </w:t>
      </w:r>
      <w:r>
        <w:rPr>
          <w:sz w:val="24"/>
          <w:szCs w:val="20"/>
        </w:rPr>
        <w:t>в</w:t>
      </w:r>
      <w:r w:rsidR="00D01403">
        <w:rPr>
          <w:sz w:val="24"/>
          <w:szCs w:val="20"/>
        </w:rPr>
        <w:t xml:space="preserve"> зависимости от задач</w:t>
      </w:r>
      <w:r>
        <w:rPr>
          <w:sz w:val="24"/>
          <w:szCs w:val="20"/>
        </w:rPr>
        <w:t xml:space="preserve"> государственн</w:t>
      </w:r>
      <w:r w:rsidR="007D1101">
        <w:rPr>
          <w:sz w:val="24"/>
          <w:szCs w:val="20"/>
        </w:rPr>
        <w:t xml:space="preserve">ых </w:t>
      </w:r>
      <w:r>
        <w:rPr>
          <w:sz w:val="24"/>
          <w:szCs w:val="20"/>
        </w:rPr>
        <w:t>программ</w:t>
      </w:r>
      <w:r w:rsidR="007D1101">
        <w:rPr>
          <w:sz w:val="24"/>
          <w:szCs w:val="20"/>
        </w:rPr>
        <w:t xml:space="preserve"> (например,</w:t>
      </w:r>
      <w:r>
        <w:rPr>
          <w:sz w:val="24"/>
          <w:szCs w:val="20"/>
        </w:rPr>
        <w:t xml:space="preserve"> «Приоритет-2030»</w:t>
      </w:r>
      <w:r w:rsidR="007D1101">
        <w:rPr>
          <w:sz w:val="24"/>
          <w:szCs w:val="20"/>
        </w:rPr>
        <w:t>)</w:t>
      </w:r>
      <w:r w:rsidR="00BC7D83">
        <w:rPr>
          <w:sz w:val="24"/>
          <w:szCs w:val="20"/>
        </w:rPr>
        <w:t xml:space="preserve">, </w:t>
      </w:r>
      <w:r w:rsidR="00D01403">
        <w:rPr>
          <w:sz w:val="24"/>
          <w:szCs w:val="20"/>
        </w:rPr>
        <w:t>и может быть применена для ее стратегического мониторинга</w:t>
      </w:r>
      <w:r w:rsidR="00BC7D83">
        <w:rPr>
          <w:sz w:val="24"/>
          <w:szCs w:val="20"/>
        </w:rPr>
        <w:t>. с целью формирования дальнейших корректировок государственных и региональных стратегий научно-технологического развития России и ее регионов.</w:t>
      </w:r>
      <w:r w:rsidR="00F8518C">
        <w:rPr>
          <w:sz w:val="24"/>
          <w:szCs w:val="20"/>
        </w:rPr>
        <w:t xml:space="preserve"> </w:t>
      </w:r>
    </w:p>
    <w:p w14:paraId="0634F87B" w14:textId="3C3CA0E3" w:rsidR="00902D13" w:rsidRPr="00F44ED7" w:rsidRDefault="002E3124" w:rsidP="00CC59D5">
      <w:pPr>
        <w:spacing w:line="240" w:lineRule="auto"/>
        <w:ind w:firstLine="397"/>
        <w:rPr>
          <w:sz w:val="24"/>
          <w:szCs w:val="20"/>
        </w:rPr>
      </w:pPr>
      <w:r w:rsidRPr="00E17B22">
        <w:rPr>
          <w:sz w:val="24"/>
          <w:szCs w:val="20"/>
        </w:rPr>
        <w:t>Таким образом,</w:t>
      </w:r>
      <w:r w:rsidR="00E17B22" w:rsidRPr="00E17B22">
        <w:rPr>
          <w:sz w:val="24"/>
          <w:szCs w:val="20"/>
        </w:rPr>
        <w:t xml:space="preserve"> научно-технический потенциал высшей школы, включающий в себя, организационный, кадровый ресурс, а также материально-техническую и научно-исследовательскую базы, может</w:t>
      </w:r>
      <w:r w:rsidR="00E17B22">
        <w:rPr>
          <w:sz w:val="24"/>
          <w:szCs w:val="20"/>
        </w:rPr>
        <w:t xml:space="preserve"> быть адаптирован в рамках стратегического управления в новую организационную структуру. Важную роль в стратегическом управлении играет стратегический мониторинг и контроль, влияние показателей которого могут обеспечить возможность корректировки стратегии как объекта стратегирования (научно-технического потенциала высшей школы), так и оказать </w:t>
      </w:r>
      <w:r w:rsidR="00E31979">
        <w:rPr>
          <w:sz w:val="24"/>
          <w:szCs w:val="20"/>
        </w:rPr>
        <w:t xml:space="preserve">значительное влияние на реализацию государственных и региональных </w:t>
      </w:r>
      <w:r w:rsidR="007D1101">
        <w:rPr>
          <w:sz w:val="24"/>
          <w:szCs w:val="20"/>
        </w:rPr>
        <w:t>стратегий как</w:t>
      </w:r>
      <w:r w:rsidR="00E31979">
        <w:rPr>
          <w:sz w:val="24"/>
          <w:szCs w:val="20"/>
        </w:rPr>
        <w:t xml:space="preserve"> в интересах инновационного развития экономики государства, так и в интересах государственного развития в целом.</w:t>
      </w:r>
    </w:p>
    <w:p w14:paraId="164FD547" w14:textId="482F56D0" w:rsidR="00C54A1F" w:rsidRDefault="00C54A1F" w:rsidP="00CC59D5">
      <w:pPr>
        <w:spacing w:line="240" w:lineRule="auto"/>
        <w:ind w:firstLine="397"/>
        <w:rPr>
          <w:b/>
          <w:bCs/>
          <w:sz w:val="24"/>
          <w:szCs w:val="20"/>
        </w:rPr>
      </w:pPr>
      <w:r w:rsidRPr="00C54A1F">
        <w:rPr>
          <w:b/>
          <w:bCs/>
          <w:sz w:val="24"/>
          <w:szCs w:val="20"/>
        </w:rPr>
        <w:t>Литература</w:t>
      </w:r>
    </w:p>
    <w:p w14:paraId="3BECBC7C" w14:textId="0CB28E43" w:rsidR="00C54A1F" w:rsidRDefault="006F3389" w:rsidP="006F3389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6F3389">
        <w:rPr>
          <w:sz w:val="24"/>
          <w:szCs w:val="20"/>
        </w:rPr>
        <w:t>Квинт В.Л. Концепция стратегирования. T. I. — СПб.: СЗИУ РАНХиГС, 2019. — 132 с</w:t>
      </w:r>
    </w:p>
    <w:p w14:paraId="0EE071F9" w14:textId="7F9D5688" w:rsidR="006F3389" w:rsidRDefault="006F3389" w:rsidP="006F3389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6F3389">
        <w:rPr>
          <w:sz w:val="24"/>
          <w:szCs w:val="20"/>
        </w:rPr>
        <w:t>Квинт В.Л. Разработка стратегии: мониторинг и прогнозирование внутренней и внешней среды // Управленческое консультирование. – 2015. – № 7(79). – С. 6-11.</w:t>
      </w:r>
    </w:p>
    <w:p w14:paraId="2EC5288F" w14:textId="2E0623B1" w:rsidR="005839E7" w:rsidRDefault="00582FCD" w:rsidP="006F3389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Морозов В.А. </w:t>
      </w:r>
      <w:r w:rsidR="005839E7" w:rsidRPr="005839E7">
        <w:rPr>
          <w:sz w:val="24"/>
          <w:szCs w:val="20"/>
        </w:rPr>
        <w:t>Стратегическая роль университетов в развитии национальной инновационной системы. Инновации и инвестиции. 2024. № 5. С. 32-34.</w:t>
      </w:r>
    </w:p>
    <w:p w14:paraId="6D696F98" w14:textId="7668D520" w:rsidR="006F3389" w:rsidRPr="006F3389" w:rsidRDefault="006F3389" w:rsidP="006F3389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6F3389">
        <w:rPr>
          <w:sz w:val="24"/>
          <w:szCs w:val="20"/>
        </w:rPr>
        <w:t>Новикова И.В. Стратегическое управление трудовыми ресурсами предприятия. // Экономика в промышленности. 2018. №4. Т. 11. С. 322.</w:t>
      </w:r>
    </w:p>
    <w:p w14:paraId="5B1481DD" w14:textId="60EF517F" w:rsidR="006F3389" w:rsidRPr="006F3389" w:rsidRDefault="006F3389" w:rsidP="006F3389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6F3389">
        <w:rPr>
          <w:sz w:val="24"/>
          <w:szCs w:val="20"/>
        </w:rPr>
        <w:t xml:space="preserve">Фалько С.Г. Управление инновационными процессами на предприятии в условиях высокой неопределенности и динамики рынков (теоретико-методологические аспекты): дисс. </w:t>
      </w:r>
      <w:proofErr w:type="spellStart"/>
      <w:r w:rsidRPr="006F3389">
        <w:rPr>
          <w:sz w:val="24"/>
          <w:szCs w:val="20"/>
        </w:rPr>
        <w:t>докт</w:t>
      </w:r>
      <w:proofErr w:type="spellEnd"/>
      <w:r w:rsidRPr="006F3389">
        <w:rPr>
          <w:sz w:val="24"/>
          <w:szCs w:val="20"/>
        </w:rPr>
        <w:t>. экон. наук. М.: МГТУ им. Н.Э. Баумана, 1999. 331 с.</w:t>
      </w:r>
    </w:p>
    <w:p w14:paraId="6CD9EF1F" w14:textId="415F1C96" w:rsidR="006F3389" w:rsidRPr="006F3389" w:rsidRDefault="006F3389" w:rsidP="006F3389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6F3389">
        <w:rPr>
          <w:sz w:val="24"/>
          <w:szCs w:val="20"/>
        </w:rPr>
        <w:t>Шацкая И.В. Концепция стратегического управления кадровым обеспечением инновационного развития России: монография - СПб.: Северо-Западный институт управления - филиал РАНХиГС, 2021. - 340 с.</w:t>
      </w:r>
    </w:p>
    <w:sectPr w:rsidR="006F3389" w:rsidRPr="006F3389" w:rsidSect="00CC59D5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D0042"/>
    <w:multiLevelType w:val="hybridMultilevel"/>
    <w:tmpl w:val="2854A61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18104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D5"/>
    <w:rsid w:val="000B2477"/>
    <w:rsid w:val="00103E7D"/>
    <w:rsid w:val="002326D8"/>
    <w:rsid w:val="00236756"/>
    <w:rsid w:val="00272ED8"/>
    <w:rsid w:val="00283F96"/>
    <w:rsid w:val="002E3124"/>
    <w:rsid w:val="00370416"/>
    <w:rsid w:val="00397D22"/>
    <w:rsid w:val="003F1737"/>
    <w:rsid w:val="00463B00"/>
    <w:rsid w:val="00582FCD"/>
    <w:rsid w:val="005839E7"/>
    <w:rsid w:val="0059075F"/>
    <w:rsid w:val="005B2107"/>
    <w:rsid w:val="00637D7D"/>
    <w:rsid w:val="006569F5"/>
    <w:rsid w:val="006F3389"/>
    <w:rsid w:val="007D1101"/>
    <w:rsid w:val="00855F27"/>
    <w:rsid w:val="00902D13"/>
    <w:rsid w:val="00AB7BCD"/>
    <w:rsid w:val="00B66E5E"/>
    <w:rsid w:val="00BC7D83"/>
    <w:rsid w:val="00C45C44"/>
    <w:rsid w:val="00C54A1F"/>
    <w:rsid w:val="00CC59D5"/>
    <w:rsid w:val="00D01403"/>
    <w:rsid w:val="00E103E7"/>
    <w:rsid w:val="00E17B22"/>
    <w:rsid w:val="00E31979"/>
    <w:rsid w:val="00E86C37"/>
    <w:rsid w:val="00EF77CF"/>
    <w:rsid w:val="00F44ED7"/>
    <w:rsid w:val="00F8518C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6683"/>
  <w15:chartTrackingRefBased/>
  <w15:docId w15:val="{C903A1DF-0587-40BB-8D03-9189F57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лассическое оформление ОТ"/>
    <w:qFormat/>
    <w:rsid w:val="00463B00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CC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9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9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9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9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9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9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9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9D5"/>
    <w:rPr>
      <w:rFonts w:eastAsiaTheme="majorEastAsia" w:cstheme="majorBidi"/>
      <w:i/>
      <w:iCs/>
      <w:color w:val="2F5496" w:themeColor="accent1" w:themeShade="BF"/>
      <w:sz w:val="28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C59D5"/>
    <w:rPr>
      <w:rFonts w:eastAsiaTheme="majorEastAsia" w:cstheme="majorBidi"/>
      <w:color w:val="2F5496" w:themeColor="accent1" w:themeShade="B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C59D5"/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C59D5"/>
    <w:rPr>
      <w:rFonts w:eastAsiaTheme="majorEastAsia" w:cstheme="majorBidi"/>
      <w:color w:val="595959" w:themeColor="text1" w:themeTint="A6"/>
      <w:sz w:val="28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CC59D5"/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CC59D5"/>
    <w:rPr>
      <w:rFonts w:eastAsiaTheme="majorEastAsia" w:cstheme="majorBidi"/>
      <w:color w:val="272727" w:themeColor="text1" w:themeTint="D8"/>
      <w:sz w:val="28"/>
      <w:szCs w:val="22"/>
    </w:rPr>
  </w:style>
  <w:style w:type="paragraph" w:styleId="a3">
    <w:name w:val="Title"/>
    <w:basedOn w:val="a"/>
    <w:next w:val="a"/>
    <w:link w:val="a4"/>
    <w:uiPriority w:val="10"/>
    <w:qFormat/>
    <w:rsid w:val="00CC5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9D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9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9D5"/>
    <w:rPr>
      <w:rFonts w:ascii="Times New Roman" w:hAnsi="Times New Roman"/>
      <w:i/>
      <w:iCs/>
      <w:color w:val="404040" w:themeColor="text1" w:themeTint="BF"/>
      <w:sz w:val="28"/>
      <w:szCs w:val="22"/>
    </w:rPr>
  </w:style>
  <w:style w:type="paragraph" w:styleId="a7">
    <w:name w:val="List Paragraph"/>
    <w:basedOn w:val="a"/>
    <w:uiPriority w:val="34"/>
    <w:qFormat/>
    <w:rsid w:val="00CC59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59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9D5"/>
    <w:rPr>
      <w:rFonts w:ascii="Times New Roman" w:hAnsi="Times New Roman"/>
      <w:i/>
      <w:iCs/>
      <w:color w:val="2F5496" w:themeColor="accent1" w:themeShade="BF"/>
      <w:sz w:val="28"/>
      <w:szCs w:val="22"/>
    </w:rPr>
  </w:style>
  <w:style w:type="character" w:styleId="ab">
    <w:name w:val="Intense Reference"/>
    <w:basedOn w:val="a0"/>
    <w:uiPriority w:val="32"/>
    <w:qFormat/>
    <w:rsid w:val="00CC59D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59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59D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0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80B4C-8748-428E-B760-1938CC77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Морозов</dc:creator>
  <cp:keywords/>
  <dc:description/>
  <cp:lastModifiedBy>Василий Морозов</cp:lastModifiedBy>
  <cp:revision>8</cp:revision>
  <dcterms:created xsi:type="dcterms:W3CDTF">2026-03-09T08:31:00Z</dcterms:created>
  <dcterms:modified xsi:type="dcterms:W3CDTF">2026-03-09T15:01:00Z</dcterms:modified>
</cp:coreProperties>
</file>