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7495" w14:textId="77777777" w:rsidR="00A128A6" w:rsidRDefault="00A128A6" w:rsidP="00A128A6">
      <w:pPr>
        <w:spacing w:line="240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7B517D">
        <w:rPr>
          <w:rFonts w:ascii="Times New Roman" w:hAnsi="Times New Roman" w:cs="Times New Roman"/>
          <w:b/>
          <w:bCs/>
          <w:lang w:val="vi-VN"/>
        </w:rPr>
        <w:t>Анализ влияния Соглашения о свободной торговле между Вьетнамом и ЕАЭС на торговлю Вьетнама</w:t>
      </w:r>
    </w:p>
    <w:p w14:paraId="010A6FCD" w14:textId="4A57E4C1" w:rsidR="00FA73CC" w:rsidRPr="00370F9A" w:rsidRDefault="008B0D79" w:rsidP="008B0D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70F9A">
        <w:rPr>
          <w:rFonts w:ascii="Times New Roman" w:hAnsi="Times New Roman" w:cs="Times New Roman"/>
          <w:b/>
          <w:bCs/>
          <w:i/>
          <w:iCs/>
        </w:rPr>
        <w:t>Чан Ань Минь</w:t>
      </w:r>
    </w:p>
    <w:p w14:paraId="424DBE54" w14:textId="54103D4C" w:rsidR="00FA73CC" w:rsidRPr="008B0D79" w:rsidRDefault="008B0D79" w:rsidP="008B0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0D79">
        <w:rPr>
          <w:rFonts w:ascii="Times New Roman" w:hAnsi="Times New Roman" w:cs="Times New Roman"/>
        </w:rPr>
        <w:t>Аспирант</w:t>
      </w:r>
    </w:p>
    <w:p w14:paraId="71E4D035" w14:textId="26DB10C1" w:rsidR="00FA73CC" w:rsidRPr="008B0D79" w:rsidRDefault="00FA73CC" w:rsidP="008B0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0D79">
        <w:rPr>
          <w:rFonts w:ascii="Times New Roman" w:hAnsi="Times New Roman" w:cs="Times New Roman"/>
        </w:rPr>
        <w:t>Южный Федерации Университет</w:t>
      </w:r>
      <w:r w:rsidRPr="008B0D79">
        <w:rPr>
          <w:rFonts w:ascii="Times New Roman" w:hAnsi="Times New Roman" w:cs="Times New Roman"/>
          <w:lang w:val="vi-VN"/>
        </w:rPr>
        <w:t>,</w:t>
      </w:r>
    </w:p>
    <w:p w14:paraId="653B84CA" w14:textId="22C1E776" w:rsidR="00FA73CC" w:rsidRDefault="00E4040D" w:rsidP="008B0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0D79">
        <w:rPr>
          <w:rFonts w:ascii="Times New Roman" w:hAnsi="Times New Roman" w:cs="Times New Roman"/>
          <w:lang w:val="vi-VN"/>
        </w:rPr>
        <w:t>факультет</w:t>
      </w:r>
      <w:r w:rsidRPr="008B0D79">
        <w:rPr>
          <w:rFonts w:ascii="Times New Roman" w:hAnsi="Times New Roman" w:cs="Times New Roman"/>
          <w:lang w:val="vi-VN"/>
        </w:rPr>
        <w:t xml:space="preserve"> </w:t>
      </w:r>
      <w:r w:rsidR="00FA73CC" w:rsidRPr="008B0D79">
        <w:rPr>
          <w:rFonts w:ascii="Times New Roman" w:hAnsi="Times New Roman" w:cs="Times New Roman"/>
          <w:lang w:val="vi-VN"/>
        </w:rPr>
        <w:t xml:space="preserve">экономический, </w:t>
      </w:r>
      <w:r w:rsidR="003C1E69" w:rsidRPr="008B0D79">
        <w:rPr>
          <w:rFonts w:ascii="Times New Roman" w:hAnsi="Times New Roman" w:cs="Times New Roman"/>
          <w:lang w:val="vi-VN"/>
        </w:rPr>
        <w:t>Ростов</w:t>
      </w:r>
      <w:r w:rsidR="00FA73CC" w:rsidRPr="008B0D79">
        <w:rPr>
          <w:rFonts w:ascii="Times New Roman" w:hAnsi="Times New Roman" w:cs="Times New Roman"/>
        </w:rPr>
        <w:t>-на-Дону</w:t>
      </w:r>
      <w:r w:rsidR="00FA73CC" w:rsidRPr="008B0D79">
        <w:rPr>
          <w:rFonts w:ascii="Times New Roman" w:hAnsi="Times New Roman" w:cs="Times New Roman"/>
          <w:lang w:val="vi-VN"/>
        </w:rPr>
        <w:t>, Россия</w:t>
      </w:r>
    </w:p>
    <w:p w14:paraId="65F6DB7B" w14:textId="709C062F" w:rsidR="00674A86" w:rsidRPr="00674A86" w:rsidRDefault="00674A86" w:rsidP="008B0D79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674A86">
        <w:rPr>
          <w:rFonts w:ascii="Times New Roman" w:hAnsi="Times New Roman" w:cs="Times New Roman"/>
          <w:i/>
          <w:iCs/>
          <w:lang w:val="en-US"/>
        </w:rPr>
        <w:t>E–mail</w:t>
      </w:r>
      <w:r w:rsidRPr="00674A86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lang w:val="vi-VN"/>
        </w:rPr>
        <w:t xml:space="preserve"> anhminhqt274@mail.ru</w:t>
      </w:r>
    </w:p>
    <w:p w14:paraId="19A129E3" w14:textId="0813A31A" w:rsidR="00ED4E30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>Соглашение о свободной торговле (ССТ) между Вьетнамом и ЕАЭС, подписанное в 2015 г. и вступившее в силу в 2016 г., имеет особое значение для обеих сторон. Для ЕАЭС оно стало первым опытом заключения ССТ с внешним партнером; для Вьетнама — очередным шагом в реализации стратегии диверсификации внешнеэкономических связей. Вместе с тем</w:t>
      </w:r>
      <w:r w:rsidR="003C1CC9">
        <w:rPr>
          <w:rFonts w:ascii="Times New Roman" w:hAnsi="Times New Roman" w:cs="Times New Roman"/>
        </w:rPr>
        <w:t>,</w:t>
      </w:r>
      <w:r w:rsidRPr="007B104B">
        <w:rPr>
          <w:rFonts w:ascii="Times New Roman" w:hAnsi="Times New Roman" w:cs="Times New Roman"/>
          <w:lang w:val="vi-VN"/>
        </w:rPr>
        <w:t xml:space="preserve"> оценка соглашения по упрощённой логике «рост товарооборота = успех» представляется методологически недостаточной. Принципиально важно установить, носит ли зафиксированный рост устойчивый характер, сопровождается ли он структурными сдвигами в пользу продукции с более высокой добавленной стоимостью, а также сохраняется ли эффект тарифных преференций в условиях усиления нетарифных рисков и внешних шоков (пандемия, разрывы логистических цепочек, ограничения расчётов, санкционные режимы). Следовательно, анализ ССТ Вьетнам–ЕАЭС должен выходить за рамки констатации динамики торговли и включать оценку фактической работоспособности механизмов соглашения в нестабильной внешней среде</w:t>
      </w:r>
      <w:r w:rsidR="00412E8C" w:rsidRPr="007B104B">
        <w:rPr>
          <w:rFonts w:ascii="Times New Roman" w:hAnsi="Times New Roman" w:cs="Times New Roman"/>
          <w:lang w:val="vi-VN"/>
        </w:rPr>
        <w:t>.</w:t>
      </w:r>
    </w:p>
    <w:p w14:paraId="2E214AB5" w14:textId="6A095816" w:rsidR="007B104B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>В современной литературе зона свободной торговли (ЗСТ) ЕАЭС–Вьетнам преимущественно рассматривается как «пилотный» проект ЕАЭС и институциональный элемент процесса сближения России и Вьетнама. Так, Федоров</w:t>
      </w:r>
      <w:r>
        <w:rPr>
          <w:rFonts w:ascii="Times New Roman" w:hAnsi="Times New Roman" w:cs="Times New Roman"/>
          <w:lang w:val="vi-VN"/>
        </w:rPr>
        <w:t xml:space="preserve"> </w:t>
      </w:r>
      <w:r w:rsidRPr="007B104B">
        <w:rPr>
          <w:rFonts w:ascii="Times New Roman" w:hAnsi="Times New Roman" w:cs="Times New Roman"/>
          <w:lang w:val="vi-VN"/>
        </w:rPr>
        <w:t>Н. В. подчёркивает, что соглашение способствует формированию более устойчивых правил взаимодействия и снижению барьеров доступа на рынки; при этом его эффекты проявляются во времени и не должны интерпретироваться как фактор быстрого перелома в двусторонней торговле. Сходная осторожная трактовка «немедленных» результатов интеграционных соглашений представлена и у других авторов, указывающих на зависимость фактического воздействия от структуры товарных потоков и сопутствующих институциональных условий.[2]</w:t>
      </w:r>
    </w:p>
    <w:p w14:paraId="2CFE7F85" w14:textId="7464E340" w:rsidR="007B104B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 xml:space="preserve">В работах Е. Ю. Винокурова, посвящённых текущему </w:t>
      </w:r>
      <w:r w:rsidRPr="007B104B">
        <w:rPr>
          <w:rFonts w:ascii="Times New Roman" w:hAnsi="Times New Roman" w:cs="Times New Roman"/>
        </w:rPr>
        <w:t>состоянию</w:t>
      </w:r>
      <w:r w:rsidRPr="007B104B">
        <w:rPr>
          <w:rFonts w:ascii="Times New Roman" w:hAnsi="Times New Roman" w:cs="Times New Roman"/>
          <w:lang w:val="vi-VN"/>
        </w:rPr>
        <w:t xml:space="preserve"> и ограничениям ЕАЭС, отдельно отмечается, что неполная завершённость формирования единого рынка и сохраняющиеся структурные дисбалансы внутри Союза могут объективно снижать «отдачу» от соглашений о свободной торговле с внешними партнёрами, тем самым</w:t>
      </w:r>
      <w:r w:rsidR="003C1CC9">
        <w:rPr>
          <w:rFonts w:ascii="Times New Roman" w:hAnsi="Times New Roman" w:cs="Times New Roman"/>
        </w:rPr>
        <w:t>,</w:t>
      </w:r>
      <w:r w:rsidRPr="007B104B">
        <w:rPr>
          <w:rFonts w:ascii="Times New Roman" w:hAnsi="Times New Roman" w:cs="Times New Roman"/>
          <w:lang w:val="vi-VN"/>
        </w:rPr>
        <w:t xml:space="preserve"> сужая ожидаемый масштаб как торговых, так и структурных эффектов.[3]</w:t>
      </w:r>
    </w:p>
    <w:p w14:paraId="129A6292" w14:textId="5D6F010A" w:rsidR="00ED4E30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 xml:space="preserve">Отдельное направление исследований фокусируется на рисках, возникающих в ходе функционирования ЗСТ ЕАЭС–Вьетнам. В работе С. П. Глинкиной, М. О. Тураевой и А. А. Яковлева акцент сделан на возможности использования преференциального режима третьими странами, прежде всего в форме реэкспорта через территорию Вьетнама и спорных практик подтверждения </w:t>
      </w:r>
      <w:r w:rsidR="003C1CC9" w:rsidRPr="00BD187E">
        <w:rPr>
          <w:rFonts w:ascii="Times New Roman" w:hAnsi="Times New Roman" w:cs="Times New Roman"/>
        </w:rPr>
        <w:t xml:space="preserve">страны </w:t>
      </w:r>
      <w:r w:rsidRPr="007B104B">
        <w:rPr>
          <w:rFonts w:ascii="Times New Roman" w:hAnsi="Times New Roman" w:cs="Times New Roman"/>
          <w:lang w:val="vi-VN"/>
        </w:rPr>
        <w:t xml:space="preserve">происхождения. Авторы показывают, что даже при номинальной нулевой ставке пошлины устойчивость преференций определяется качеством управления и правоприменения: строгим соблюдением правил происхождения, обеспечением прозрачности </w:t>
      </w:r>
      <w:r w:rsidRPr="007B104B">
        <w:rPr>
          <w:rFonts w:ascii="Times New Roman" w:hAnsi="Times New Roman" w:cs="Times New Roman"/>
        </w:rPr>
        <w:t>сертификации</w:t>
      </w:r>
      <w:r w:rsidRPr="007B104B">
        <w:rPr>
          <w:rFonts w:ascii="Times New Roman" w:hAnsi="Times New Roman" w:cs="Times New Roman"/>
          <w:lang w:val="vi-VN"/>
        </w:rPr>
        <w:t xml:space="preserve"> и повышением эффективности таможенных процедур и контроля. Именно эти механизмы позволяют минимизировать оппортунистическое использование льгот и предотвратить трансформацию тарифных уступок в источник новых торгово-правовых рисков.</w:t>
      </w:r>
      <w:r w:rsidR="00357D9E" w:rsidRPr="007B104B">
        <w:rPr>
          <w:rFonts w:ascii="Times New Roman" w:hAnsi="Times New Roman" w:cs="Times New Roman"/>
          <w:lang w:val="vi-VN"/>
        </w:rPr>
        <w:t>[</w:t>
      </w:r>
      <w:r w:rsidR="00576893" w:rsidRPr="007B104B">
        <w:rPr>
          <w:rFonts w:ascii="Times New Roman" w:hAnsi="Times New Roman" w:cs="Times New Roman"/>
          <w:lang w:val="vi-VN"/>
        </w:rPr>
        <w:t>1</w:t>
      </w:r>
      <w:r w:rsidR="00357D9E" w:rsidRPr="007B104B">
        <w:rPr>
          <w:rFonts w:ascii="Times New Roman" w:hAnsi="Times New Roman" w:cs="Times New Roman"/>
          <w:lang w:val="vi-VN"/>
        </w:rPr>
        <w:t>]</w:t>
      </w:r>
      <w:r w:rsidR="00ED4E30" w:rsidRPr="007B104B">
        <w:rPr>
          <w:rFonts w:ascii="Times New Roman" w:hAnsi="Times New Roman" w:cs="Times New Roman"/>
          <w:lang w:val="vi-VN"/>
        </w:rPr>
        <w:t xml:space="preserve">  </w:t>
      </w:r>
    </w:p>
    <w:p w14:paraId="28BBA5E8" w14:textId="0F135DBF" w:rsidR="00340D2D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 xml:space="preserve">Научная новизна настоящей статьи состоят в систематизации существующих исследовательских линий и их проверке на единой эмпирической базе, сформированной на основе сопоставимых данных за 2005–2024 гг. Предложен </w:t>
      </w:r>
      <w:r w:rsidRPr="007B104B">
        <w:rPr>
          <w:rFonts w:ascii="Times New Roman" w:hAnsi="Times New Roman" w:cs="Times New Roman"/>
          <w:lang w:val="vi-VN"/>
        </w:rPr>
        <w:lastRenderedPageBreak/>
        <w:t>подход к периодизации динамики торговли Вьетнама и ЕАЭС с выделением трёх этапов: до подписания ССТ</w:t>
      </w:r>
      <w:r w:rsidR="00A236A2">
        <w:rPr>
          <w:rFonts w:ascii="Times New Roman" w:hAnsi="Times New Roman" w:cs="Times New Roman"/>
          <w:lang w:val="vi-VN"/>
        </w:rPr>
        <w:t xml:space="preserve"> (</w:t>
      </w:r>
      <w:r w:rsidR="00A236A2">
        <w:rPr>
          <w:rFonts w:ascii="Times New Roman" w:hAnsi="Times New Roman" w:cs="Times New Roman"/>
        </w:rPr>
        <w:t>период 2005-2014)</w:t>
      </w:r>
      <w:r w:rsidRPr="007B104B">
        <w:rPr>
          <w:rFonts w:ascii="Times New Roman" w:hAnsi="Times New Roman" w:cs="Times New Roman"/>
          <w:lang w:val="vi-VN"/>
        </w:rPr>
        <w:t>, после подписания/вступления в силу</w:t>
      </w:r>
      <w:r w:rsidR="00A236A2">
        <w:rPr>
          <w:rFonts w:ascii="Times New Roman" w:hAnsi="Times New Roman" w:cs="Times New Roman"/>
          <w:lang w:val="vi-VN"/>
        </w:rPr>
        <w:t xml:space="preserve"> (2015-2022)</w:t>
      </w:r>
      <w:r w:rsidRPr="007B104B">
        <w:rPr>
          <w:rFonts w:ascii="Times New Roman" w:hAnsi="Times New Roman" w:cs="Times New Roman"/>
          <w:lang w:val="vi-VN"/>
        </w:rPr>
        <w:t>, а также периода повышенной волатильности после 2022 г. В рамках исследования оценивается устойчивость торгового баланса, раскрывается селективность эффекта ССТ во времени и по товарным группам, а также проводится структурный анализ экспорта и импорта по укрупнённым группам ТН ВЭД (HS) с фиксацией изменений долей и выявлением асимметрий по содержанию добавленной стоимости во взаимном обмене</w:t>
      </w:r>
      <w:r w:rsidR="00064394" w:rsidRPr="007B104B">
        <w:rPr>
          <w:rFonts w:ascii="Times New Roman" w:hAnsi="Times New Roman" w:cs="Times New Roman"/>
          <w:lang w:val="vi-VN"/>
        </w:rPr>
        <w:t>.</w:t>
      </w:r>
    </w:p>
    <w:p w14:paraId="4209D43D" w14:textId="28A87D7A" w:rsidR="00BF54F7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>Методологическая основа исследования включает статистический анализ временных рядов, ориентированный на сопоставление динамики экспорта, импорта и торгового баланса Вьетнам–ЕАЭС в 2005–2024 гг., а также анализ структурных сдвигов товарной номенклатуры по группам HS на базе официальной статистики, стандартизированной и интегрированной в сопоставимый массив данных</w:t>
      </w:r>
      <w:r w:rsidR="00E862FC" w:rsidRPr="007B104B">
        <w:rPr>
          <w:rFonts w:ascii="Times New Roman" w:hAnsi="Times New Roman" w:cs="Times New Roman"/>
          <w:lang w:val="vi-VN"/>
        </w:rPr>
        <w:t xml:space="preserve">. </w:t>
      </w:r>
    </w:p>
    <w:p w14:paraId="2A221ED1" w14:textId="7084B000" w:rsidR="00126E0B" w:rsidRPr="007B104B" w:rsidRDefault="007B104B" w:rsidP="007B51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>Полученные результаты свидетельствуют о долгосрочной тенденции расширения двусторонней торговли при высокой волатильности и чувствительности к внешним условиям; при этом ещё до вступления ССТ в силу наблюдался эпизод улучшения торгового баланса (2011–2013 гг.), обусловленный воздействием факторов конкурентоспособности, не сводимых к тарифным изменениям. В постсоглашенческий период 2015–2022 гг. торговые потоки увеличились, однако не сформировали выраженного структурного перелома, что отражает локальный и нелинейный характер преференциального эффекта. Начиная с 2022 г. ключевыми стали нетарифные ограничения (расчёты, логистика, санкционные режимы), которые сузили чистую выгоду от тарифной либерализации. В структурном отношении обмен сохраняет комплементарность, одновременно воспроизводя асимметрию по добавленной стоимости: импорт Вьетнама из ЕАЭС представлен преимущественно базовыми ресурсами и производственными входами (сырьё, оборудование), тогда как экспорт ориентирован главным образом на сельскохозяйственную и продовольственную продукцию, а также товары лёгкой промышленности; высокотехнологичные товарные позиции в большей степени подвержены влиянию транзакционных издержек и нетарифных ограничений</w:t>
      </w:r>
      <w:r w:rsidR="00E862FC" w:rsidRPr="007B104B">
        <w:rPr>
          <w:rFonts w:ascii="Times New Roman" w:hAnsi="Times New Roman" w:cs="Times New Roman"/>
          <w:lang w:val="vi-VN"/>
        </w:rPr>
        <w:t>.</w:t>
      </w:r>
    </w:p>
    <w:p w14:paraId="0D9D92DD" w14:textId="75394A37" w:rsidR="00340D2D" w:rsidRPr="007B104B" w:rsidRDefault="007B104B" w:rsidP="007B517D">
      <w:pPr>
        <w:spacing w:line="240" w:lineRule="auto"/>
        <w:ind w:left="397" w:firstLine="709"/>
        <w:jc w:val="both"/>
        <w:rPr>
          <w:rFonts w:ascii="Times New Roman" w:hAnsi="Times New Roman" w:cs="Times New Roman"/>
          <w:lang w:val="vi-VN"/>
        </w:rPr>
      </w:pPr>
      <w:r w:rsidRPr="007B104B">
        <w:rPr>
          <w:rFonts w:ascii="Times New Roman" w:hAnsi="Times New Roman" w:cs="Times New Roman"/>
          <w:lang w:val="vi-VN"/>
        </w:rPr>
        <w:t xml:space="preserve">В целом влияние </w:t>
      </w:r>
      <w:r>
        <w:rPr>
          <w:rFonts w:ascii="Times New Roman" w:hAnsi="Times New Roman" w:cs="Times New Roman"/>
        </w:rPr>
        <w:t>З</w:t>
      </w:r>
      <w:r w:rsidRPr="007B104B">
        <w:rPr>
          <w:rFonts w:ascii="Times New Roman" w:hAnsi="Times New Roman" w:cs="Times New Roman"/>
          <w:lang w:val="vi-VN"/>
        </w:rPr>
        <w:t xml:space="preserve">СТ Вьетнам–ЕАЭС на внешнюю торговлю Вьетнама корректнее интерпретировать как условный институциональный катализатор, а не как автономный драйвер модернизации экспортной структуры. В благоприятной внешней конъюнктуре соглашение способно снижать </w:t>
      </w:r>
      <w:r w:rsidR="003C1CC9" w:rsidRPr="00BD187E">
        <w:rPr>
          <w:rFonts w:ascii="Times New Roman" w:hAnsi="Times New Roman" w:cs="Times New Roman"/>
        </w:rPr>
        <w:t>транс</w:t>
      </w:r>
      <w:r w:rsidRPr="00BD187E">
        <w:rPr>
          <w:rFonts w:ascii="Times New Roman" w:hAnsi="Times New Roman" w:cs="Times New Roman"/>
          <w:lang w:val="vi-VN"/>
        </w:rPr>
        <w:t>граничные</w:t>
      </w:r>
      <w:r w:rsidRPr="007B104B">
        <w:rPr>
          <w:rFonts w:ascii="Times New Roman" w:hAnsi="Times New Roman" w:cs="Times New Roman"/>
          <w:lang w:val="vi-VN"/>
        </w:rPr>
        <w:t xml:space="preserve"> издержки и расширять доступ к рынкам; однако опыт 2022–2024 гг. показывает, что при росте логистических, платёжных и комплаенс-рисков нетарифные издержки могут перекрывать выгоды тарифных преференций. Следовательно, перспективы результативности ССТ в среднесрочной перспективе в первую очередь зависят от инфраструктуры торгового взаимодействия, включая устойчивые механизмы расчётов, реализуемые логистические коридоры и эффективное администрирование правил происхождения, минимизирующее риск использования преференций субъектами третьих стран</w:t>
      </w:r>
      <w:r w:rsidR="00C5286C" w:rsidRPr="007B104B">
        <w:rPr>
          <w:rFonts w:ascii="Times New Roman" w:hAnsi="Times New Roman" w:cs="Times New Roman"/>
          <w:lang w:val="vi-VN"/>
        </w:rPr>
        <w:t>.</w:t>
      </w:r>
    </w:p>
    <w:p w14:paraId="613F9A07" w14:textId="218D92BC" w:rsidR="005137AB" w:rsidRPr="007B517D" w:rsidRDefault="003E2A2A" w:rsidP="00D6551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lang w:val="vi-VN"/>
        </w:rPr>
      </w:pPr>
      <w:r w:rsidRPr="003E2A2A">
        <w:rPr>
          <w:rFonts w:ascii="Times New Roman" w:hAnsi="Times New Roman" w:cs="Times New Roman"/>
          <w:b/>
          <w:bCs/>
        </w:rPr>
        <w:t>Л</w:t>
      </w:r>
      <w:r w:rsidR="00EF62C1" w:rsidRPr="003E2A2A">
        <w:rPr>
          <w:rFonts w:ascii="Times New Roman" w:hAnsi="Times New Roman" w:cs="Times New Roman"/>
          <w:b/>
          <w:bCs/>
        </w:rPr>
        <w:t>итературы</w:t>
      </w:r>
      <w:r>
        <w:rPr>
          <w:rFonts w:ascii="Times New Roman" w:hAnsi="Times New Roman" w:cs="Times New Roman"/>
          <w:b/>
          <w:bCs/>
          <w:lang w:val="vi-VN"/>
        </w:rPr>
        <w:t>:</w:t>
      </w:r>
    </w:p>
    <w:p w14:paraId="21AFC39E" w14:textId="77777777" w:rsidR="00357D9E" w:rsidRPr="00E7722A" w:rsidRDefault="00357D9E" w:rsidP="006C1FF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7722A">
        <w:rPr>
          <w:rFonts w:ascii="Times New Roman" w:hAnsi="Times New Roman" w:cs="Times New Roman"/>
        </w:rPr>
        <w:t>Глинкина С. П., Тураева М. О., Яковлев А. А. Риски использования преференциального режима зоны свободной торговли ЕАЭС-Вьетнам хозяйствующими субъектами третьих стран // Инновации и инвести-ции. 2018. №7. Стр 69 -73.  URL: https://cyberleninka.ru/article/n/riski-ispolzovaniya-preferentsialnogo-rezhima-zony-svobodnoy-torgovli-eaes-vietnam-hozyaystvuyuschimi-subektami-tretih-stran  (дата обращения: 10.12.2025).</w:t>
      </w:r>
    </w:p>
    <w:p w14:paraId="6EF0376C" w14:textId="77777777" w:rsidR="00357D9E" w:rsidRPr="00E7722A" w:rsidRDefault="00357D9E" w:rsidP="00EF62C1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7722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Федоров Н.В. Соглашение о зоне свободной торговли между ЕАЭС и Вьетнамом как фактор Российско-Вьетнамских отношений// Сравнительная Политика и </w:t>
      </w:r>
      <w:r w:rsidRPr="00E7722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 xml:space="preserve">Геополитика. - 2018. - 9(1). - стр </w:t>
      </w:r>
      <w:proofErr w:type="gramStart"/>
      <w:r w:rsidRPr="00E7722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74-90</w:t>
      </w:r>
      <w:proofErr w:type="gramEnd"/>
      <w:r w:rsidRPr="00E7722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(дата обра-щения: 10.12.2025).  URL:https://open.mgimo.ru/bitstream/123456789/5306/1/sravpol_1_9_74_90.pdf?utm_source=google.com&amp;utm_medium=organic&amp;utm_campaign=google.com&amp;utm_referrer=google.com(дата обращения: 15.02.2025).</w:t>
      </w:r>
    </w:p>
    <w:p w14:paraId="108B1ED3" w14:textId="77777777" w:rsidR="00357D9E" w:rsidRPr="0045223F" w:rsidRDefault="00357D9E" w:rsidP="00EF62C1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7722A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Vinokurov E. Eurasian Economic Union: Current state and preliminary results// Russian Journal of Economics. </w:t>
      </w:r>
      <w:r w:rsidRPr="00E7722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2017. - 3 (1). – С.54-70. DOI: 10.1016/j.ruje.2017.02.004 (дата обращения: 15.02.2025).</w:t>
      </w:r>
    </w:p>
    <w:p w14:paraId="12ED4EA2" w14:textId="77777777" w:rsidR="0045223F" w:rsidRDefault="0045223F" w:rsidP="0045223F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8BCD376" w14:textId="6BF517D5" w:rsidR="0045223F" w:rsidRPr="0045223F" w:rsidRDefault="0045223F" w:rsidP="0045223F">
      <w:pPr>
        <w:pStyle w:val="a7"/>
        <w:spacing w:line="240" w:lineRule="auto"/>
        <w:jc w:val="both"/>
        <w:rPr>
          <w:rFonts w:ascii="Times New Roman" w:hAnsi="Times New Roman" w:cs="Times New Roman"/>
        </w:rPr>
      </w:pPr>
      <w:r w:rsidRPr="0045223F">
        <w:rPr>
          <w:rFonts w:ascii="Times New Roman" w:hAnsi="Times New Roman" w:cs="Times New Roman"/>
        </w:rPr>
        <w:drawing>
          <wp:inline distT="0" distB="0" distL="0" distR="0" wp14:anchorId="34A044B6" wp14:editId="59591558">
            <wp:extent cx="4652543" cy="6419870"/>
            <wp:effectExtent l="0" t="0" r="0" b="0"/>
            <wp:docPr id="251214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148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2783" cy="650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23F" w:rsidRPr="0045223F" w:rsidSect="00D655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EB2D" w14:textId="77777777" w:rsidR="00CE2781" w:rsidRDefault="00CE2781" w:rsidP="00ED4E30">
      <w:pPr>
        <w:spacing w:after="0" w:line="240" w:lineRule="auto"/>
      </w:pPr>
      <w:r>
        <w:separator/>
      </w:r>
    </w:p>
  </w:endnote>
  <w:endnote w:type="continuationSeparator" w:id="0">
    <w:p w14:paraId="395CA21F" w14:textId="77777777" w:rsidR="00CE2781" w:rsidRDefault="00CE2781" w:rsidP="00ED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8CC6" w14:textId="77777777" w:rsidR="00CE2781" w:rsidRDefault="00CE2781" w:rsidP="00ED4E30">
      <w:pPr>
        <w:spacing w:after="0" w:line="240" w:lineRule="auto"/>
      </w:pPr>
      <w:r>
        <w:separator/>
      </w:r>
    </w:p>
  </w:footnote>
  <w:footnote w:type="continuationSeparator" w:id="0">
    <w:p w14:paraId="50EE13AA" w14:textId="77777777" w:rsidR="00CE2781" w:rsidRDefault="00CE2781" w:rsidP="00ED4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AC8"/>
    <w:multiLevelType w:val="hybridMultilevel"/>
    <w:tmpl w:val="507E5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9D1"/>
    <w:multiLevelType w:val="hybridMultilevel"/>
    <w:tmpl w:val="6B5C38E6"/>
    <w:lvl w:ilvl="0" w:tplc="C61CAD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9049">
    <w:abstractNumId w:val="1"/>
  </w:num>
  <w:num w:numId="2" w16cid:durableId="131671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AB"/>
    <w:rsid w:val="00014202"/>
    <w:rsid w:val="00024888"/>
    <w:rsid w:val="00064394"/>
    <w:rsid w:val="00073850"/>
    <w:rsid w:val="00085FE9"/>
    <w:rsid w:val="0009388A"/>
    <w:rsid w:val="001252FB"/>
    <w:rsid w:val="00126E0B"/>
    <w:rsid w:val="0013475F"/>
    <w:rsid w:val="00155A58"/>
    <w:rsid w:val="001A19E4"/>
    <w:rsid w:val="001F1580"/>
    <w:rsid w:val="0024184E"/>
    <w:rsid w:val="0025108C"/>
    <w:rsid w:val="002531CD"/>
    <w:rsid w:val="00254A32"/>
    <w:rsid w:val="0030144D"/>
    <w:rsid w:val="0032767E"/>
    <w:rsid w:val="00340D2D"/>
    <w:rsid w:val="00355C59"/>
    <w:rsid w:val="0035610E"/>
    <w:rsid w:val="00357D9E"/>
    <w:rsid w:val="00370F9A"/>
    <w:rsid w:val="00376DF7"/>
    <w:rsid w:val="00386EC2"/>
    <w:rsid w:val="003876D8"/>
    <w:rsid w:val="003B02AD"/>
    <w:rsid w:val="003C1CC9"/>
    <w:rsid w:val="003C1E69"/>
    <w:rsid w:val="003D2391"/>
    <w:rsid w:val="003E2A2A"/>
    <w:rsid w:val="003E4154"/>
    <w:rsid w:val="003F6786"/>
    <w:rsid w:val="004107F6"/>
    <w:rsid w:val="00412E8C"/>
    <w:rsid w:val="0045223F"/>
    <w:rsid w:val="004574E8"/>
    <w:rsid w:val="004C77D5"/>
    <w:rsid w:val="005137AB"/>
    <w:rsid w:val="00576893"/>
    <w:rsid w:val="005C4797"/>
    <w:rsid w:val="005F47BD"/>
    <w:rsid w:val="00627921"/>
    <w:rsid w:val="00664A70"/>
    <w:rsid w:val="00674A86"/>
    <w:rsid w:val="006A5316"/>
    <w:rsid w:val="006C1FF2"/>
    <w:rsid w:val="00750114"/>
    <w:rsid w:val="007748BE"/>
    <w:rsid w:val="0077656C"/>
    <w:rsid w:val="0078543E"/>
    <w:rsid w:val="007951CA"/>
    <w:rsid w:val="007B104B"/>
    <w:rsid w:val="007B517D"/>
    <w:rsid w:val="007C5DB7"/>
    <w:rsid w:val="00880FFD"/>
    <w:rsid w:val="00890BC2"/>
    <w:rsid w:val="008B0D79"/>
    <w:rsid w:val="0095492E"/>
    <w:rsid w:val="00A064EA"/>
    <w:rsid w:val="00A1065E"/>
    <w:rsid w:val="00A128A6"/>
    <w:rsid w:val="00A236A2"/>
    <w:rsid w:val="00B62BAA"/>
    <w:rsid w:val="00B905C9"/>
    <w:rsid w:val="00BA28E7"/>
    <w:rsid w:val="00BB5CD9"/>
    <w:rsid w:val="00BD187E"/>
    <w:rsid w:val="00BF54F7"/>
    <w:rsid w:val="00C3024C"/>
    <w:rsid w:val="00C5286C"/>
    <w:rsid w:val="00CE2781"/>
    <w:rsid w:val="00D6551A"/>
    <w:rsid w:val="00DD6AF4"/>
    <w:rsid w:val="00E4040D"/>
    <w:rsid w:val="00E53F6C"/>
    <w:rsid w:val="00E7722A"/>
    <w:rsid w:val="00E862FC"/>
    <w:rsid w:val="00ED4E30"/>
    <w:rsid w:val="00EF62C1"/>
    <w:rsid w:val="00F55613"/>
    <w:rsid w:val="00FA73CC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5090"/>
  <w15:docId w15:val="{E8CF97F5-CFF3-214E-A944-F9E31DFD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7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7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7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7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7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7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37A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37A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37A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1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a0"/>
    <w:rsid w:val="005137AB"/>
  </w:style>
  <w:style w:type="paragraph" w:styleId="ae">
    <w:name w:val="footnote text"/>
    <w:basedOn w:val="a"/>
    <w:link w:val="af"/>
    <w:uiPriority w:val="99"/>
    <w:semiHidden/>
    <w:unhideWhenUsed/>
    <w:rsid w:val="00ED4E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D4E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D4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CA572-DC7E-48B8-BFCC-A94CB5EA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6521</Characters>
  <Application>Microsoft Office Word</Application>
  <DocSecurity>0</DocSecurity>
  <Lines>101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Чан Ань Минь</dc:creator>
  <cp:keywords/>
  <dc:description/>
  <cp:lastModifiedBy>Чан Ань Минь</cp:lastModifiedBy>
  <cp:revision>2</cp:revision>
  <dcterms:created xsi:type="dcterms:W3CDTF">2026-03-01T21:50:00Z</dcterms:created>
  <dcterms:modified xsi:type="dcterms:W3CDTF">2026-03-01T21:50:00Z</dcterms:modified>
</cp:coreProperties>
</file>