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5CA1">
      <w:pPr>
        <w:pStyle w:val="4"/>
        <w:keepNext w:val="0"/>
        <w:keepLines w:val="0"/>
        <w:widowControl/>
        <w:suppressLineNumbers w:val="0"/>
        <w:bidi w:val="0"/>
        <w:spacing w:before="0" w:beforeAutospacing="0" w:after="0" w:afterAutospacing="0" w:line="240" w:lineRule="auto"/>
        <w:ind w:left="0" w:firstLine="860"/>
        <w:jc w:val="both"/>
        <w:rPr>
          <w:sz w:val="24"/>
          <w:szCs w:val="24"/>
        </w:rPr>
      </w:pPr>
      <w:r>
        <w:rPr>
          <w:rFonts w:hint="default" w:ascii="Times New Roman" w:hAnsi="Times New Roman" w:cs="Times New Roman"/>
          <w:i w:val="0"/>
          <w:iCs w:val="0"/>
          <w:color w:val="000000"/>
          <w:sz w:val="24"/>
          <w:szCs w:val="24"/>
          <w:u w:val="none"/>
          <w:shd w:val="clear" w:fill="FFFFFF"/>
          <w:vertAlign w:val="baseline"/>
        </w:rPr>
        <w:t>Прогнозирование инфляции остается одной из ключевых задач макроэкономического анализа, поскольку точность прогнозов влияет на эффективность денежно-кредитной политики. Ранее автором [4] была протестирована модель CoST</w:t>
      </w:r>
      <w:r>
        <w:rPr>
          <w:rFonts w:hint="default" w:ascii="Times New Roman" w:hAnsi="Times New Roman" w:cs="Times New Roman"/>
          <w:i w:val="0"/>
          <w:iCs w:val="0"/>
          <w:color w:val="000000"/>
          <w:sz w:val="24"/>
          <w:szCs w:val="24"/>
          <w:u w:val="none"/>
          <w:shd w:val="clear" w:fill="FFFFFF"/>
          <w:vertAlign w:val="baseline"/>
          <w:lang w:val="en-US"/>
        </w:rPr>
        <w:t xml:space="preserve"> </w:t>
      </w:r>
      <w:r>
        <w:rPr>
          <w:rFonts w:hint="default" w:ascii="Times New Roman" w:hAnsi="Times New Roman" w:cs="Times New Roman"/>
          <w:i w:val="0"/>
          <w:iCs w:val="0"/>
          <w:color w:val="000000"/>
          <w:sz w:val="24"/>
          <w:szCs w:val="24"/>
          <w:u w:val="none"/>
          <w:shd w:val="clear" w:fill="FFFFFF"/>
          <w:vertAlign w:val="baseline"/>
        </w:rPr>
        <w:t xml:space="preserve">[1], показавшая существенное улучшение точности прогнозов </w:t>
      </w:r>
      <w:r>
        <w:rPr>
          <w:rFonts w:hint="default" w:ascii="Times New Roman" w:hAnsi="Times New Roman" w:cs="Times New Roman"/>
          <w:i w:val="0"/>
          <w:iCs w:val="0"/>
          <w:color w:val="000000"/>
          <w:sz w:val="24"/>
          <w:szCs w:val="24"/>
          <w:u w:val="none"/>
          <w:shd w:val="clear" w:fill="FFFFFF"/>
          <w:vertAlign w:val="baseline"/>
          <w:lang w:val="ru-RU"/>
        </w:rPr>
        <w:t xml:space="preserve">инфляции </w:t>
      </w:r>
      <w:r>
        <w:rPr>
          <w:rFonts w:hint="default" w:ascii="Times New Roman" w:hAnsi="Times New Roman" w:cs="Times New Roman"/>
          <w:i w:val="0"/>
          <w:iCs w:val="0"/>
          <w:color w:val="000000"/>
          <w:sz w:val="24"/>
          <w:szCs w:val="24"/>
          <w:u w:val="none"/>
          <w:shd w:val="clear" w:fill="FFFFFF"/>
          <w:vertAlign w:val="baseline"/>
        </w:rPr>
        <w:t>на среднесрочных горизонтах за счет раздельного выделения трендовой и сезонной компонент. Однако стремительное развитие архитектур глубокого обучения предлагает новые инструменты для анализа временных рядов. Одной из наиболее перспективных моделей последнего времени является Mamba, основанная на селективных пространствах состояний (Selective State Space Models) [2].</w:t>
      </w:r>
    </w:p>
    <w:p w14:paraId="2C0D26F6">
      <w:pPr>
        <w:pStyle w:val="4"/>
        <w:keepNext w:val="0"/>
        <w:keepLines w:val="0"/>
        <w:widowControl/>
        <w:suppressLineNumbers w:val="0"/>
        <w:bidi w:val="0"/>
        <w:spacing w:before="0" w:beforeAutospacing="0" w:after="0" w:afterAutospacing="0" w:line="240" w:lineRule="auto"/>
        <w:ind w:left="0" w:firstLine="860"/>
        <w:jc w:val="both"/>
        <w:rPr>
          <w:sz w:val="24"/>
          <w:szCs w:val="24"/>
        </w:rPr>
      </w:pPr>
      <w:r>
        <w:rPr>
          <w:rFonts w:hint="default" w:ascii="Times New Roman" w:hAnsi="Times New Roman" w:cs="Times New Roman"/>
          <w:i w:val="0"/>
          <w:iCs w:val="0"/>
          <w:color w:val="000000"/>
          <w:sz w:val="24"/>
          <w:szCs w:val="24"/>
          <w:u w:val="none"/>
          <w:shd w:val="clear" w:fill="FFFFFF"/>
          <w:vertAlign w:val="baseline"/>
          <w:lang w:val="ru-RU"/>
        </w:rPr>
        <w:t>П</w:t>
      </w:r>
      <w:r>
        <w:rPr>
          <w:rFonts w:hint="default" w:ascii="Times New Roman" w:hAnsi="Times New Roman" w:cs="Times New Roman"/>
          <w:i w:val="0"/>
          <w:iCs w:val="0"/>
          <w:color w:val="000000"/>
          <w:sz w:val="24"/>
          <w:szCs w:val="24"/>
          <w:u w:val="none"/>
          <w:shd w:val="clear" w:fill="FFFFFF"/>
          <w:vertAlign w:val="baseline"/>
        </w:rPr>
        <w:t>реимущество Mamba заключается в способности динамически адаптировать свои параметры к текущему входному сигналу, что позволяет эффективно обрабатывать последовательности с переменной структурой, сохраняя</w:t>
      </w:r>
      <w:r>
        <w:rPr>
          <w:rFonts w:hint="default" w:ascii="Times New Roman" w:hAnsi="Times New Roman" w:cs="Times New Roman"/>
          <w:i w:val="0"/>
          <w:iCs w:val="0"/>
          <w:color w:val="000000"/>
          <w:sz w:val="24"/>
          <w:szCs w:val="24"/>
          <w:u w:val="none"/>
          <w:shd w:val="clear" w:fill="FFFFFF"/>
          <w:vertAlign w:val="baseline"/>
          <w:lang w:val="ru-RU"/>
        </w:rPr>
        <w:t xml:space="preserve"> </w:t>
      </w:r>
      <w:r>
        <w:rPr>
          <w:rFonts w:hint="default" w:ascii="Times New Roman" w:hAnsi="Times New Roman" w:cs="Times New Roman"/>
          <w:i w:val="0"/>
          <w:iCs w:val="0"/>
          <w:color w:val="000000"/>
          <w:sz w:val="24"/>
          <w:szCs w:val="24"/>
          <w:u w:val="none"/>
          <w:shd w:val="clear" w:fill="FFFFFF"/>
          <w:vertAlign w:val="baseline"/>
        </w:rPr>
        <w:t>линейную вычислительную сложность в отличие от квадратичной сложности трансформеров. Механизм селективности выполняет функцию, аналогичную механизму внимания, но с линейной сложностью O(L) по длине последовательности, что делает модель подходящей для анализа длинных макроэкономических рядов.</w:t>
      </w:r>
    </w:p>
    <w:p w14:paraId="52B56D5D">
      <w:pPr>
        <w:pStyle w:val="4"/>
        <w:keepNext w:val="0"/>
        <w:keepLines w:val="0"/>
        <w:widowControl/>
        <w:suppressLineNumbers w:val="0"/>
        <w:bidi w:val="0"/>
        <w:spacing w:before="0" w:beforeAutospacing="0" w:after="0" w:afterAutospacing="0" w:line="240" w:lineRule="auto"/>
        <w:ind w:left="0" w:firstLine="860"/>
        <w:jc w:val="both"/>
        <w:rPr>
          <w:sz w:val="24"/>
          <w:szCs w:val="24"/>
        </w:rPr>
      </w:pPr>
      <w:r>
        <w:rPr>
          <w:rFonts w:hint="default" w:ascii="Times New Roman" w:hAnsi="Times New Roman" w:cs="Times New Roman"/>
          <w:i w:val="0"/>
          <w:iCs w:val="0"/>
          <w:color w:val="000000"/>
          <w:sz w:val="24"/>
          <w:szCs w:val="24"/>
          <w:u w:val="none"/>
          <w:shd w:val="clear" w:fill="FFFFFF"/>
          <w:vertAlign w:val="baseline"/>
        </w:rPr>
        <w:t xml:space="preserve">Настоящая работа посвящена сравнительному анализу прогностической способности моделей CoST и Mamba в задаче прогнозирования российской инфляции. В исследовании используются данные </w:t>
      </w:r>
      <w:r>
        <w:rPr>
          <w:rFonts w:hint="default" w:ascii="Times New Roman" w:hAnsi="Times New Roman" w:cs="Times New Roman"/>
          <w:i w:val="0"/>
          <w:iCs w:val="0"/>
          <w:color w:val="000000"/>
          <w:sz w:val="24"/>
          <w:szCs w:val="24"/>
          <w:u w:val="none"/>
          <w:shd w:val="clear" w:fill="FFFFFF"/>
          <w:vertAlign w:val="baseline"/>
          <w:lang w:val="ru-RU"/>
        </w:rPr>
        <w:t>ИПЦ</w:t>
      </w:r>
      <w:r>
        <w:rPr>
          <w:rFonts w:hint="default" w:ascii="Times New Roman" w:hAnsi="Times New Roman" w:cs="Times New Roman"/>
          <w:i w:val="0"/>
          <w:iCs w:val="0"/>
          <w:color w:val="000000"/>
          <w:sz w:val="24"/>
          <w:szCs w:val="24"/>
          <w:u w:val="none"/>
          <w:shd w:val="clear" w:fill="FFFFFF"/>
          <w:vertAlign w:val="baseline"/>
        </w:rPr>
        <w:t xml:space="preserve"> плодоовощн</w:t>
      </w:r>
      <w:r>
        <w:rPr>
          <w:rFonts w:hint="default" w:ascii="Times New Roman" w:hAnsi="Times New Roman" w:cs="Times New Roman"/>
          <w:i w:val="0"/>
          <w:iCs w:val="0"/>
          <w:color w:val="000000"/>
          <w:sz w:val="24"/>
          <w:szCs w:val="24"/>
          <w:u w:val="none"/>
          <w:shd w:val="clear" w:fill="FFFFFF"/>
          <w:vertAlign w:val="baseline"/>
          <w:lang w:val="ru-RU"/>
        </w:rPr>
        <w:t>ой</w:t>
      </w:r>
      <w:r>
        <w:rPr>
          <w:rFonts w:hint="default" w:ascii="Times New Roman" w:hAnsi="Times New Roman" w:cs="Times New Roman"/>
          <w:i w:val="0"/>
          <w:iCs w:val="0"/>
          <w:color w:val="000000"/>
          <w:sz w:val="24"/>
          <w:szCs w:val="24"/>
          <w:u w:val="none"/>
          <w:shd w:val="clear" w:fill="FFFFFF"/>
          <w:vertAlign w:val="baseline"/>
        </w:rPr>
        <w:t xml:space="preserve"> продукци</w:t>
      </w:r>
      <w:r>
        <w:rPr>
          <w:rFonts w:hint="default" w:ascii="Times New Roman" w:hAnsi="Times New Roman" w:cs="Times New Roman"/>
          <w:i w:val="0"/>
          <w:iCs w:val="0"/>
          <w:color w:val="000000"/>
          <w:sz w:val="24"/>
          <w:szCs w:val="24"/>
          <w:u w:val="none"/>
          <w:shd w:val="clear" w:fill="FFFFFF"/>
          <w:vertAlign w:val="baseline"/>
          <w:lang w:val="ru-RU"/>
        </w:rPr>
        <w:t>и</w:t>
      </w:r>
      <w:r>
        <w:rPr>
          <w:rFonts w:hint="default" w:ascii="Times New Roman" w:hAnsi="Times New Roman" w:cs="Times New Roman"/>
          <w:i w:val="0"/>
          <w:iCs w:val="0"/>
          <w:color w:val="000000"/>
          <w:sz w:val="24"/>
          <w:szCs w:val="24"/>
          <w:u w:val="none"/>
          <w:shd w:val="clear" w:fill="FFFFFF"/>
          <w:vertAlign w:val="baseline"/>
        </w:rPr>
        <w:t xml:space="preserve"> и её компонент за период с января 1995 года по сентябрь 2024 года. Данная категория выбрана в силу её высокой волатильности и значительной доли в потребительской корзине. В качестве базовых моделей для сравнения выступают SARIMAX (как представитель классических эконометрических подходов) и регуляризованные регрессии LASSO и Ridge. Оценка точности прогнозов проводится на горизонтах 1, 3 и 6 месяцев с использованием метрик RMSE, MAE и MAPE и методологии скользящего контроля.</w:t>
      </w:r>
    </w:p>
    <w:p w14:paraId="6A214F3F">
      <w:pPr>
        <w:keepNext w:val="0"/>
        <w:keepLines w:val="0"/>
        <w:widowControl/>
        <w:suppressLineNumbers w:val="0"/>
        <w:spacing w:line="240" w:lineRule="auto"/>
        <w:ind w:firstLine="720" w:firstLineChars="0"/>
        <w:jc w:val="both"/>
        <w:rPr>
          <w:sz w:val="24"/>
          <w:szCs w:val="24"/>
        </w:rPr>
      </w:pPr>
      <w:r>
        <w:rPr>
          <w:rFonts w:hint="default" w:ascii="Times New Roman" w:hAnsi="Times New Roman" w:cs="Times New Roman"/>
          <w:i w:val="0"/>
          <w:iCs w:val="0"/>
          <w:color w:val="000000"/>
          <w:sz w:val="24"/>
          <w:szCs w:val="24"/>
          <w:u w:val="none"/>
          <w:shd w:val="clear" w:fill="FFFFFF"/>
          <w:vertAlign w:val="baseline"/>
        </w:rPr>
        <w:t xml:space="preserve">Предварительные результаты показывают, что Mamba демонстрирует высокую точность на среднесрочных горизонтах, сопоставимую с CoST, но при этом показывает лучшие результаты на более длинных горизонтах. Так, на </w:t>
      </w:r>
      <w:r>
        <w:rPr>
          <w:rFonts w:hint="default" w:ascii="Times New Roman" w:hAnsi="Times New Roman" w:cs="Times New Roman"/>
          <w:i w:val="0"/>
          <w:iCs w:val="0"/>
          <w:color w:val="auto"/>
          <w:sz w:val="24"/>
          <w:szCs w:val="24"/>
          <w:u w:val="none"/>
          <w:shd w:val="clear" w:fill="FFFFFF"/>
          <w:vertAlign w:val="baseline"/>
        </w:rPr>
        <w:t>горизонте 6 месяцев модель Mamba с компонентами снижает ошибку RMSE на</w:t>
      </w:r>
      <w:r>
        <w:rPr>
          <w:rFonts w:hint="default" w:ascii="Times New Roman" w:hAnsi="Times New Roman" w:eastAsia="SimSun" w:cs="Times New Roman"/>
          <w:i w:val="0"/>
          <w:iCs w:val="0"/>
          <w:color w:val="000000"/>
          <w:kern w:val="0"/>
          <w:sz w:val="24"/>
          <w:szCs w:val="24"/>
          <w:u w:val="none"/>
          <w:vertAlign w:val="baseline"/>
          <w:lang w:val="ru-RU" w:eastAsia="zh-CN" w:bidi="ar"/>
        </w:rPr>
        <w:t xml:space="preserve"> </w:t>
      </w:r>
      <w:bookmarkStart w:id="0" w:name="_GoBack"/>
      <w:bookmarkEnd w:id="0"/>
      <w:r>
        <w:rPr>
          <w:rFonts w:hint="default" w:ascii="Times New Roman" w:hAnsi="Times New Roman" w:eastAsia="SimSun" w:cs="Times New Roman"/>
          <w:i w:val="0"/>
          <w:iCs w:val="0"/>
          <w:color w:val="000000"/>
          <w:kern w:val="0"/>
          <w:sz w:val="24"/>
          <w:szCs w:val="24"/>
          <w:u w:val="none"/>
          <w:vertAlign w:val="baseline"/>
          <w:lang w:val="en-US" w:eastAsia="zh-CN" w:bidi="ar"/>
        </w:rPr>
        <w:t>8% по сравнению с CoST и на 32%</w:t>
      </w:r>
      <w:r>
        <w:rPr>
          <w:rFonts w:hint="default" w:ascii="Times New Roman" w:hAnsi="Times New Roman" w:cs="Times New Roman"/>
          <w:i w:val="0"/>
          <w:iCs w:val="0"/>
          <w:color w:val="auto"/>
          <w:sz w:val="24"/>
          <w:szCs w:val="24"/>
          <w:u w:val="none"/>
          <w:shd w:val="clear" w:fill="FFFFFF"/>
          <w:vertAlign w:val="baseline"/>
        </w:rPr>
        <w:t xml:space="preserve"> по сравнению с SARIMAX. Важным преимуществом Mamba является более стаби</w:t>
      </w:r>
      <w:r>
        <w:rPr>
          <w:rFonts w:hint="default" w:ascii="Times New Roman" w:hAnsi="Times New Roman" w:cs="Times New Roman"/>
          <w:i w:val="0"/>
          <w:iCs w:val="0"/>
          <w:color w:val="000000"/>
          <w:sz w:val="24"/>
          <w:szCs w:val="24"/>
          <w:u w:val="none"/>
          <w:shd w:val="clear" w:fill="FFFFFF"/>
          <w:vertAlign w:val="baseline"/>
        </w:rPr>
        <w:t>льная работа в периоды повышенной волатильности, что подтверждается результатами теста Доверительного множества моделей (Model Confidence Set) [3].</w:t>
      </w:r>
    </w:p>
    <w:p w14:paraId="6922F005">
      <w:pPr>
        <w:pStyle w:val="4"/>
        <w:keepNext w:val="0"/>
        <w:keepLines w:val="0"/>
        <w:widowControl/>
        <w:suppressLineNumbers w:val="0"/>
        <w:bidi w:val="0"/>
        <w:spacing w:before="0" w:beforeAutospacing="0" w:after="0" w:afterAutospacing="0" w:line="240" w:lineRule="auto"/>
        <w:ind w:left="0" w:firstLine="400"/>
        <w:jc w:val="both"/>
        <w:rPr>
          <w:sz w:val="24"/>
          <w:szCs w:val="24"/>
        </w:rPr>
      </w:pPr>
      <w:r>
        <w:rPr>
          <w:rFonts w:hint="default" w:ascii="Times New Roman" w:hAnsi="Times New Roman" w:cs="Times New Roman"/>
          <w:b/>
          <w:bCs/>
          <w:i w:val="0"/>
          <w:iCs w:val="0"/>
          <w:color w:val="000000"/>
          <w:sz w:val="24"/>
          <w:szCs w:val="24"/>
          <w:u w:val="none"/>
          <w:shd w:val="clear" w:fill="FFFFFF"/>
          <w:vertAlign w:val="baseline"/>
        </w:rPr>
        <w:t>Литература:</w:t>
      </w:r>
    </w:p>
    <w:p w14:paraId="37F19577">
      <w:pPr>
        <w:pStyle w:val="4"/>
        <w:keepNext w:val="0"/>
        <w:keepLines w:val="0"/>
        <w:widowControl/>
        <w:numPr>
          <w:ilvl w:val="0"/>
          <w:numId w:val="1"/>
        </w:numPr>
        <w:suppressLineNumbers w:val="0"/>
        <w:bidi w:val="0"/>
        <w:spacing w:before="0" w:beforeAutospacing="0" w:after="0" w:afterAutospacing="0" w:line="240" w:lineRule="auto"/>
        <w:ind w:left="425" w:leftChars="0" w:hanging="425" w:firstLineChars="0"/>
        <w:jc w:val="both"/>
        <w:rPr>
          <w:rFonts w:hint="default" w:ascii="Times New Roman" w:hAnsi="Times New Roman" w:cs="Times New Roman"/>
          <w:i w:val="0"/>
          <w:iCs w:val="0"/>
          <w:color w:val="000000"/>
          <w:sz w:val="24"/>
          <w:szCs w:val="24"/>
          <w:u w:val="none"/>
        </w:rPr>
      </w:pPr>
      <w:r>
        <w:rPr>
          <w:rFonts w:hint="default" w:ascii="Times New Roman" w:hAnsi="Times New Roman" w:cs="Times New Roman"/>
          <w:i w:val="0"/>
          <w:iCs w:val="0"/>
          <w:color w:val="000000"/>
          <w:sz w:val="24"/>
          <w:szCs w:val="24"/>
          <w:u w:val="none"/>
          <w:shd w:val="clear" w:fill="FFFFFF"/>
          <w:vertAlign w:val="baseline"/>
        </w:rPr>
        <w:t>Gerald Woo, Chenghao Liu, Doyen Sahoo, Akshat Kumar, Steven Hoi CoST: Contrastive Learning of Disentangled Seasonal-Trend Representations for Time Series Forecasting // https://arxiv.org/abs/2202.01575. 2022</w:t>
      </w:r>
    </w:p>
    <w:p w14:paraId="23A5DE28">
      <w:pPr>
        <w:pStyle w:val="4"/>
        <w:keepNext w:val="0"/>
        <w:keepLines w:val="0"/>
        <w:widowControl/>
        <w:numPr>
          <w:ilvl w:val="0"/>
          <w:numId w:val="1"/>
        </w:numPr>
        <w:suppressLineNumbers w:val="0"/>
        <w:bidi w:val="0"/>
        <w:spacing w:before="0" w:beforeAutospacing="0" w:after="0" w:afterAutospacing="0" w:line="240" w:lineRule="auto"/>
        <w:ind w:left="425" w:leftChars="0" w:hanging="425" w:firstLineChars="0"/>
        <w:jc w:val="both"/>
        <w:rPr>
          <w:rFonts w:hint="default" w:ascii="Times New Roman" w:hAnsi="Times New Roman" w:cs="Times New Roman"/>
          <w:i w:val="0"/>
          <w:iCs w:val="0"/>
          <w:color w:val="000000"/>
          <w:sz w:val="24"/>
          <w:szCs w:val="24"/>
          <w:u w:val="none"/>
          <w:shd w:val="clear" w:fill="FFFFFF"/>
          <w:vertAlign w:val="baseline"/>
        </w:rPr>
      </w:pPr>
      <w:r>
        <w:rPr>
          <w:rFonts w:hint="default" w:ascii="Times New Roman" w:hAnsi="Times New Roman" w:cs="Times New Roman"/>
          <w:i w:val="0"/>
          <w:iCs w:val="0"/>
          <w:color w:val="000000"/>
          <w:sz w:val="24"/>
          <w:szCs w:val="24"/>
          <w:u w:val="none"/>
          <w:shd w:val="clear" w:fill="FFFFFF"/>
          <w:vertAlign w:val="baseline"/>
          <w:lang w:val="en-US" w:eastAsia="zh-CN"/>
        </w:rPr>
        <w:t>Gu A., Dao T. Mamba: Linear-time sequence modeling with selective state spaces // First Conference on Language Modeling. 2024.</w:t>
      </w:r>
    </w:p>
    <w:p w14:paraId="61A77B5C">
      <w:pPr>
        <w:pStyle w:val="4"/>
        <w:keepNext w:val="0"/>
        <w:keepLines w:val="0"/>
        <w:widowControl/>
        <w:numPr>
          <w:ilvl w:val="0"/>
          <w:numId w:val="1"/>
        </w:numPr>
        <w:suppressLineNumbers w:val="0"/>
        <w:bidi w:val="0"/>
        <w:spacing w:before="0" w:beforeAutospacing="0" w:after="0" w:afterAutospacing="0" w:line="240" w:lineRule="auto"/>
        <w:ind w:left="425" w:leftChars="0" w:hanging="425" w:firstLineChars="0"/>
        <w:jc w:val="both"/>
        <w:rPr>
          <w:rFonts w:hint="default" w:ascii="Times New Roman" w:hAnsi="Times New Roman" w:cs="Times New Roman"/>
          <w:i w:val="0"/>
          <w:iCs w:val="0"/>
          <w:color w:val="000000"/>
          <w:sz w:val="24"/>
          <w:szCs w:val="24"/>
          <w:u w:val="none"/>
          <w:shd w:val="clear" w:fill="FFFFFF"/>
          <w:vertAlign w:val="baseline"/>
        </w:rPr>
      </w:pPr>
      <w:r>
        <w:rPr>
          <w:rFonts w:hint="default" w:ascii="Times New Roman" w:hAnsi="Times New Roman" w:cs="Times New Roman"/>
          <w:i w:val="0"/>
          <w:iCs w:val="0"/>
          <w:color w:val="000000"/>
          <w:sz w:val="24"/>
          <w:szCs w:val="24"/>
          <w:u w:val="none"/>
          <w:shd w:val="clear" w:fill="FFFFFF"/>
          <w:vertAlign w:val="baseline"/>
          <w:lang w:val="en-US" w:eastAsia="zh-CN"/>
        </w:rPr>
        <w:t>Hansen P.R., Lunde A., Nason J.M. The model confidence set // Econometrica. 2011. Vol. 79, No. 2. P. 453–497.</w:t>
      </w:r>
    </w:p>
    <w:p w14:paraId="3D245734">
      <w:pPr>
        <w:pStyle w:val="4"/>
        <w:keepNext w:val="0"/>
        <w:keepLines w:val="0"/>
        <w:widowControl/>
        <w:numPr>
          <w:ilvl w:val="0"/>
          <w:numId w:val="1"/>
        </w:numPr>
        <w:suppressLineNumbers w:val="0"/>
        <w:bidi w:val="0"/>
        <w:spacing w:before="0" w:beforeAutospacing="0" w:after="0" w:afterAutospacing="0" w:line="240" w:lineRule="auto"/>
        <w:ind w:left="425" w:leftChars="0" w:hanging="425" w:firstLineChars="0"/>
        <w:jc w:val="both"/>
        <w:rPr>
          <w:sz w:val="24"/>
          <w:szCs w:val="24"/>
        </w:rPr>
      </w:pPr>
      <w:r>
        <w:rPr>
          <w:rFonts w:hint="default" w:ascii="Times New Roman" w:hAnsi="Times New Roman" w:cs="Times New Roman"/>
          <w:i w:val="0"/>
          <w:iCs w:val="0"/>
          <w:color w:val="000000"/>
          <w:sz w:val="24"/>
          <w:szCs w:val="24"/>
          <w:u w:val="none"/>
          <w:shd w:val="clear" w:fill="FFFFFF"/>
          <w:vertAlign w:val="baseline"/>
        </w:rPr>
        <w:t>Полюх, А. С. Нейросетевое прогнозирование инфляции в России: перспективы и ограничения. // Материалы Международного молодежного научного форума «ЛОМОНОСОВ-2025»</w:t>
      </w:r>
      <w:r>
        <w:rPr>
          <w:rFonts w:hint="default" w:ascii="Times New Roman" w:hAnsi="Times New Roman" w:cs="Times New Roman"/>
          <w:i w:val="0"/>
          <w:iCs w:val="0"/>
          <w:color w:val="000000"/>
          <w:sz w:val="24"/>
          <w:szCs w:val="24"/>
          <w:u w:val="none"/>
          <w:shd w:val="clear" w:fill="FFFFFF"/>
          <w:vertAlign w:val="baseline"/>
          <w:lang w:val="ru-RU"/>
        </w:rPr>
        <w:t xml:space="preserve"> </w:t>
      </w:r>
      <w:r>
        <w:rPr>
          <w:rFonts w:hint="default" w:ascii="Times New Roman" w:hAnsi="Times New Roman" w:cs="Times New Roman"/>
          <w:i w:val="0"/>
          <w:iCs w:val="0"/>
          <w:color w:val="000000"/>
          <w:sz w:val="24"/>
          <w:szCs w:val="24"/>
          <w:u w:val="none"/>
          <w:shd w:val="clear" w:fill="FFFFFF"/>
          <w:vertAlign w:val="baseline"/>
        </w:rPr>
        <w:t>– М.: МАКС Пресс, 2025.</w:t>
      </w:r>
    </w:p>
    <w:sectPr>
      <w:pgSz w:w="11906" w:h="16838"/>
      <w:pgMar w:top="1134" w:right="1361" w:bottom="1134" w:left="136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7F01"/>
    <w:multiLevelType w:val="singleLevel"/>
    <w:tmpl w:val="E7FF7F01"/>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BB4A0"/>
    <w:rsid w:val="6FBF10DA"/>
    <w:rsid w:val="E5FBB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Office_6.14.0.8718_F1E327BC-269C-435d-A152-05C5408002CA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2026-02-22T10:39:00Z</dcterms:created>
  <dc:creator>google1589615054</dc:creator>
  <cp:lastModifiedBy>google1589615054</cp:lastModifiedBy>
  <dcterms:modified xsi:type="dcterms:W3CDTF">2026-02-22T11:06:01Z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97358889BFF88F4895B29A69E8B50D30_41</vt:lpwstr>
  </property>
</Properties>
</file>