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360" w:right="1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Русско-японская война (1904-1905) в освещении газет Великобритании и США (на примере "The Times" и "The New York Times")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Данько Серафима Тимофеевна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студентка 3-го курса бакалавриата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E-mail: </w:t>
      </w:r>
      <w:hyperlink r:id="rId7">
        <w:r w:rsidDel="00000000" w:rsidR="00000000" w:rsidRPr="00000000">
          <w:rPr>
            <w:i w:val="1"/>
            <w:iCs w:val="1"/>
            <w:u w:val="single"/>
            <w:rtl w:val="0"/>
          </w:rPr>
          <w:t xml:space="preserve">never001s@gmail.com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Русско-японская война 1904–1905 гг. стала первым крупным военным конфликтом XX века и одним из ключевых событий в международных отношениях на рубеже столетий. Победа Японии над Российской империей имела значительный международный резонанс и существенно изменила восприятие баланса сил в мире. Война широко освещалась в западной прессе, что делает её важным примером формирования международного информационного пространства начала XX века. Особенно интересным представляется освещение войны в ведущих британских и американских газетах, где отображён не только ход военных действий, но и политические интересы ведущих западных держав в Восточной Азии.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Актуальность настоящего исследования имеет самое непосредственное отношение к важнейшим функциям периодической печати – организации (структурировании) общественного мнения и осуществление идеологического воздействия государства, ибо изучение материалов прессы Великобритании и США (даже на материалах «передовиц» двух крупнейших газет) позволит лучше понимать специфику международных отношений в период Русско-японской войны. Изучение материалов периодической печати существенно важно для интерпретирования военных действий во время Русско-японской войны за пределами Японии и Российской империи – двух непосредственных участников военного конфликта. При этом различия в трактовках могут служить значимым маркером, имеющим отношение к внешнеполитическим интересам Великобритании и США. </w:t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Источниковой базой исследования главных событий Русско-японской войны выступили публикации крупнейших газетных изданий Великобритании и США: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“The Times”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ежедневная общенациональная газета Великобритании, основанная в 1785 г. Одно из наиболее авторитетных британских изданий, традиционно воспринимавшееся образованной частью британского общества как символ престижной и качественной журналистики. Несмотря на определённую близость к правительственным кругам, издание сохраняло репутацию независимого источника информации, что позволяло его рассматривать как «четвёртую власть», которая формировала общественное мнение. Чтение </w:t>
      </w:r>
      <w:r w:rsidDel="00000000" w:rsidR="00000000" w:rsidRPr="00000000">
        <w:rPr>
          <w:i w:val="1"/>
          <w:iCs w:val="1"/>
          <w:rtl w:val="0"/>
        </w:rPr>
        <w:t xml:space="preserve">The Times</w:t>
      </w:r>
      <w:r w:rsidDel="00000000" w:rsidR="00000000" w:rsidRPr="00000000">
        <w:rPr>
          <w:rtl w:val="0"/>
        </w:rPr>
        <w:t xml:space="preserve"> выступало своеобразным культурным и социальным маркером, указывавшим на принадлежность к влиятельным кругам общества. </w:t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b w:val="0"/>
          <w:bCs w:val="0"/>
          <w:rtl w:val="0"/>
        </w:rPr>
        <w:t xml:space="preserve">“The New York Times”</w:t>
      </w:r>
      <w:r w:rsidDel="00000000" w:rsidR="00000000" w:rsidRPr="00000000">
        <w:rPr>
          <w:rtl w:val="0"/>
        </w:rPr>
        <w:t xml:space="preserve"> – ежедневная общенациональная газета США, основанная в 1851 г. Одно из ведущих периодических изданий страны. К концу XIX века газета сформировала репутацию независимого аналитического издания, стремившегося дистанцироваться от прямой партийной поддержки с целью повышения объективности публикуемых материалов. Противопоставляя себя сенсационной «жёлтой прессе», активно развивавшейся в тот период, </w:t>
      </w:r>
      <w:r w:rsidDel="00000000" w:rsidR="00000000" w:rsidRPr="00000000">
        <w:rPr>
          <w:i w:val="1"/>
          <w:iCs w:val="1"/>
          <w:rtl w:val="0"/>
        </w:rPr>
        <w:t xml:space="preserve">The New York Times</w:t>
      </w:r>
      <w:r w:rsidDel="00000000" w:rsidR="00000000" w:rsidRPr="00000000">
        <w:rPr>
          <w:rtl w:val="0"/>
        </w:rPr>
        <w:t xml:space="preserve"> стремилась укрепить репутацию надёжного и авторитетного издания, пользующегося доверием политических, деловых и интеллектуальных кругов американского общества.</w:t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Новизна исследования состоит в изучении того, как именно издания ведущих западных держав представляли события на Дальнем Востоке, исследовании следа, накладываемого на новость, в связи с интересом той или иной державы в положении дел на Востоке, в выявлении корреляции между презентацией конфликта и внешнеполитическими интересами Великобритании и США, а также в сравнительном анализе британского и американского газетного дискурса в контексте Русско-японской войны.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ходе исследования был проведён анализ газетных изданий, выпущенных после самых значимых событий войны, были выявлены их особенности, определено отношение стран запада к войне, были изучены особенности, связанные с интересами конкретных государств в положении дел на Дальнем Востоке. Также были сопоставлены публикации двух изданий по ключевым событиям войны. Важно отметить, что особое внимание уделялось тональности материалов и особенностям интерпретации событий и оценочных суждений, связанных с ними.</w:t>
      </w:r>
    </w:p>
    <w:p w:rsidR="00000000" w:rsidDel="00000000" w:rsidP="00000000" w:rsidRDefault="00000000" w:rsidRPr="00000000" w14:paraId="0000000E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Анализ публикаций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Times </w:t>
      </w:r>
      <w:r w:rsidDel="00000000" w:rsidR="00000000" w:rsidRPr="00000000">
        <w:rPr>
          <w:color w:val="000000"/>
          <w:rtl w:val="0"/>
        </w:rPr>
        <w:t xml:space="preserve">и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New York Times</w:t>
      </w:r>
      <w:r w:rsidDel="00000000" w:rsidR="00000000" w:rsidRPr="00000000">
        <w:rPr>
          <w:color w:val="000000"/>
          <w:rtl w:val="0"/>
        </w:rPr>
        <w:t xml:space="preserve"> за первые дни Русско-японской войны 1904–1905 гг. показывает, что оба издания воспринимали конфликт как событие международного масштаба, затрагивавшее не только Россию и Японию, но и положение Китая, баланс сил в Восточной Азии в целом и интересы великих держав. Уже в первом выпуске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Times</w:t>
      </w:r>
      <w:r w:rsidDel="00000000" w:rsidR="00000000" w:rsidRPr="00000000">
        <w:rPr>
          <w:color w:val="000000"/>
          <w:rtl w:val="0"/>
        </w:rPr>
        <w:t xml:space="preserve"> от 10 февраля 1904 г., сообщающем о начале войны происходящее описывается как крупное международное столкновение: “Первый удар нанесён в великой борьбе, которая разгорается на Дальнем Востоке”. Аналогичным образом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New York Times</w:t>
      </w:r>
      <w:r w:rsidDel="00000000" w:rsidR="00000000" w:rsidRPr="00000000">
        <w:rPr>
          <w:color w:val="000000"/>
          <w:rtl w:val="0"/>
        </w:rPr>
        <w:t xml:space="preserve"> подчёркивала значение конфликта для всего международного сообщества: “Общий интерес великих держав мира должен выступать определяющим фактором, удерживающим в разумных пределах войну, которая, к сожалению, вспыхнула между Японией и Россией”. Тем самым обе газеты рассматривали войну не как нечто локальное, а как значимое событие на международной арене.</w:t>
      </w:r>
    </w:p>
    <w:p w:rsidR="00000000" w:rsidDel="00000000" w:rsidP="00000000" w:rsidRDefault="00000000" w:rsidRPr="00000000" w14:paraId="0000000F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Оба издания заняли не нейтральную, а оценочную позицию. В их публикациях заметна явная симпатия к Японии и более критичное отношение к России. </w:t>
      </w:r>
    </w:p>
    <w:p w:rsidR="00000000" w:rsidDel="00000000" w:rsidP="00000000" w:rsidRDefault="00000000" w:rsidRPr="00000000" w14:paraId="00000010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Редакция газеты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Times</w:t>
      </w:r>
      <w:r w:rsidDel="00000000" w:rsidR="00000000" w:rsidRPr="00000000">
        <w:rPr>
          <w:color w:val="000000"/>
          <w:rtl w:val="0"/>
        </w:rPr>
        <w:t xml:space="preserve"> от 10 февраля 1904 г. в сообщении о нападении на Порт-Артур подчёркивала смелость и инициативу японской стороны, отмечая, что «мир в целом едва ли будет менее поражён той быстротой и смелостью, с которыми Япония перешла к наступательным действиям». Японская стратегия в публикациях 12 февраля 1904 г. характеризовалась как последовательная и организованная: военные действия развивались «упорядоченно и логично», а мобилизация отличалась «исключительной слаженностью и высокой скоростью». </w:t>
      </w:r>
    </w:p>
    <w:p w:rsidR="00000000" w:rsidDel="00000000" w:rsidP="00000000" w:rsidRDefault="00000000" w:rsidRPr="00000000" w14:paraId="00000011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Россия в материалах газеты изображалась противоречиво. С одной стороны,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Times</w:t>
      </w:r>
      <w:r w:rsidDel="00000000" w:rsidR="00000000" w:rsidRPr="00000000">
        <w:rPr>
          <w:color w:val="000000"/>
          <w:rtl w:val="0"/>
        </w:rPr>
        <w:t xml:space="preserve"> признавала значительные ресурсы и боевой потенциал Российской Империи. Но реальное внимание было обращено на российскую политику и дипломатию, которые подвергались жёсткой критике. В статье от 10 февраля 1904 г. неудачи России объяснялись просчётами её внешней политики, всё происходящее описывалось как «возмездие дипломатии, которая зашла дальше, чем позволяли её реальные возможности подготовки», а курс российского руководства определялся как «безрассудная агрессивная политика». Таким образом, в публикациях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Times</w:t>
      </w:r>
      <w:r w:rsidDel="00000000" w:rsidR="00000000" w:rsidRPr="00000000">
        <w:rPr>
          <w:color w:val="000000"/>
          <w:rtl w:val="0"/>
        </w:rPr>
        <w:t xml:space="preserve"> Россия предстает государством, обладающим значительными ресурсами и военной силой, но действующим менее организованно и стратегически дальновидно, чем Япония.</w:t>
      </w:r>
    </w:p>
    <w:p w:rsidR="00000000" w:rsidDel="00000000" w:rsidP="00000000" w:rsidRDefault="00000000" w:rsidRPr="00000000" w14:paraId="00000012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Оценочная логика прослеживается и в публикациях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New York Times</w:t>
      </w:r>
      <w:r w:rsidDel="00000000" w:rsidR="00000000" w:rsidRPr="00000000">
        <w:rPr>
          <w:color w:val="000000"/>
          <w:rtl w:val="0"/>
        </w:rPr>
        <w:t xml:space="preserve">, где ответственность за обострение конфликта во многом возлагалась на Россию. В редакционной статье газеты от 10 февраля 1904 г. отмечалось: «Слишком поздно России притворяться, или кому бы то ни было притворяться, будто владение и контроль над Маньчжурией не являются её целью в войне с Японией». В той же публикации возможная «русификация» Маньчжурии рассматривалась как угроза международной стабильности: «русификация Маньчжурии стала бы источником постоянной опасности для всеобщего мира».</w:t>
      </w:r>
    </w:p>
    <w:p w:rsidR="00000000" w:rsidDel="00000000" w:rsidP="00000000" w:rsidRDefault="00000000" w:rsidRPr="00000000" w14:paraId="00000013">
      <w:pPr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Япония, напротив, представлялась как сторона, чьи требования не противоречат интересам других держав. Так, в том же выпуске подчёркивается: «в этих требованиях нет ничего, что наносило бы ущерб интересам или угрожало торговле Соединённых Штатов или любой из нейтральных держав», поэтому «симпатии нейтрального мира, по-видимому, находятся на стороне Японии».</w:t>
      </w:r>
    </w:p>
    <w:p w:rsidR="00000000" w:rsidDel="00000000" w:rsidP="00000000" w:rsidRDefault="00000000" w:rsidRPr="00000000" w14:paraId="00000014">
      <w:pPr>
        <w:ind w:firstLine="720"/>
        <w:jc w:val="both"/>
        <w:rPr>
          <w:color w:val="000000"/>
        </w:rPr>
      </w:pPr>
      <w:bookmarkStart w:colFirst="0" w:colLast="0" w:name="_heading=h.j0tr3zh6fm3k" w:id="0"/>
      <w:bookmarkEnd w:id="0"/>
      <w:r w:rsidDel="00000000" w:rsidR="00000000" w:rsidRPr="00000000">
        <w:rPr>
          <w:color w:val="000000"/>
          <w:rtl w:val="0"/>
        </w:rPr>
        <w:t xml:space="preserve">В газетных публикациях ведущих газет США и Великобритании отчетливо обнаруживаются различия в трактовках тех или иных событий.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Times </w:t>
      </w:r>
      <w:r w:rsidDel="00000000" w:rsidR="00000000" w:rsidRPr="00000000">
        <w:rPr>
          <w:color w:val="000000"/>
          <w:rtl w:val="0"/>
        </w:rPr>
        <w:t xml:space="preserve">рассматривала войну прежде всего в военно-политическом и дипломатическом контексте, уделяя внимание стратегии, ходу боевых действий и просчётам какой-либо из сторон, а также стратегическим трудностям, с которыми они сталкиваются.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The New York Times</w:t>
      </w:r>
      <w:r w:rsidDel="00000000" w:rsidR="00000000" w:rsidRPr="00000000">
        <w:rPr>
          <w:color w:val="000000"/>
          <w:rtl w:val="0"/>
        </w:rPr>
        <w:t xml:space="preserve">, напротив, интерпретировала конфликт главным образом через призму международной торговли и американских интересов в Китае. Газета поддерживала политику «открытых дверей» и подчёркивала необходимость сохранения территориальной целостности Китая, отмечая, что американское правительство действует разумно в своей политике по отношению к Китаю. В одной из статей от 14 февраля 1904 г. прямо подчеркивалось, что политика США определяется прежде всего экономическими факторами: “Мы всегда были народом, занимающимся торговлей, и лишь в редких случаях – народом воюющим”.</w:t>
      </w:r>
    </w:p>
    <w:p w:rsidR="00000000" w:rsidDel="00000000" w:rsidP="00000000" w:rsidRDefault="00000000" w:rsidRPr="00000000" w14:paraId="00000015">
      <w:pPr>
        <w:ind w:firstLine="720"/>
        <w:jc w:val="both"/>
        <w:rPr/>
      </w:pPr>
      <w:r w:rsidDel="00000000" w:rsidR="00000000" w:rsidRPr="00000000">
        <w:rPr>
          <w:color w:val="000000"/>
          <w:rtl w:val="0"/>
        </w:rPr>
        <w:t xml:space="preserve">Таким образом, освещение войны в обеих газетах отражало не только ход событий, но и внешнеполитические установки Великобритании и США. Издательства обеих сторон, очевидно, поддерживали Японию, хоть и не прямо, однако подходы этой поддержки отличались.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Times. – 1904–1905. – Вып. 10, 12, 13 февр. 1904.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New York Times. – 1904–1905. – Вып. 10, 11, 13, 14 февр. 1904.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История русско-японской войны : в 6 т. / ред.-изд.: М. Е. Бархатов, В. В. Функе. – Санкт-Петербург : Т-во Р. Голике и А. Вильборг, 1907–1909.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1133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5">
    <w:name w:val="Strong"/>
    <w:basedOn w:val="a0"/>
    <w:uiPriority w:val="22"/>
    <w:qFormat w:val="1"/>
    <w:rsid w:val="00FA798E"/>
    <w:rPr>
      <w:b w:val="1"/>
      <w:bCs w:val="1"/>
    </w:rPr>
  </w:style>
  <w:style w:type="character" w:styleId="a6">
    <w:name w:val="Emphasis"/>
    <w:basedOn w:val="a0"/>
    <w:uiPriority w:val="20"/>
    <w:qFormat w:val="1"/>
    <w:rsid w:val="00FA798E"/>
    <w:rPr>
      <w:i w:val="1"/>
      <w:iCs w:val="1"/>
    </w:rPr>
  </w:style>
  <w:style w:type="paragraph" w:styleId="a7">
    <w:name w:val="Normal (Web)"/>
    <w:basedOn w:val="a"/>
    <w:uiPriority w:val="99"/>
    <w:unhideWhenUsed w:val="1"/>
    <w:rsid w:val="003521C6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ever001s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sENVANjCje4EkKLr8kaGxfxJw==">CgMxLjAyDmguajB0cjN6aDZmbTNrOAByITE2elUwY04tOXFWbXFIQWhkdDg4VFppU2dVa25NRmdGYg==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2026-03-09T04:51:00Z</dcterms:created>
</cp:coreProperties>
</file>