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Россия и ОДКБ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поиск новой модели стратегической устойчивости</w:t>
      </w:r>
      <w:r>
        <w:rPr>
          <w:rFonts w:ascii="Times New Roman" w:cs="Times New Roman" w:hAnsi="Times New Roman" w:eastAsia="Times New Roman"/>
          <w:b w:val="1"/>
          <w:bCs w:val="1"/>
          <w:u w:color="000000"/>
          <w:vertAlign w:val="superscript"/>
          <w:rtl w:val="0"/>
          <w:lang w:val="ru-RU"/>
          <w14:textOutline w14:w="12700" w14:cap="flat">
            <w14:noFill/>
            <w14:miter w14:lim="400000"/>
          </w14:textOutline>
        </w:rPr>
        <w:footnoteReference w:id="1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Коломоец Илья Константинович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соискатель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 Ломоносова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Институт стран Азии и Африки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Россия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Россия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E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mail: 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kolomoez-94@mail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.ru</w:t>
      </w:r>
    </w:p>
    <w:p>
      <w:pPr>
        <w:pStyle w:val="heading 2"/>
        <w:keepNext w:val="0"/>
        <w:keepLines w:val="0"/>
        <w:spacing w:before="0" w:after="0"/>
        <w:ind w:firstLine="567"/>
        <w:jc w:val="both"/>
        <w:outlineLvl w:val="9"/>
        <w:rPr>
          <w:rFonts w:ascii="Times New Roman" w:cs="Times New Roman" w:hAnsi="Times New Roman" w:eastAsia="Times New Roman"/>
          <w:b w:val="0"/>
          <w:bCs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Ближний Восток вновь вспыхнул масштабным вооруженным конфликтом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Полномасштабную военную операцию США и Израиля против Ирана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начавшуюся в конце февраля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2026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года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эксперты рассматривают в рамках глобального противостояния США и Китая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которое в новой Стратегии национальной безопасности США характеризуется как «главный вызов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XXI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века»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[White House, 2026].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 контексте исследования проблем безопасности представляет интерес позиция ОДКБ по этому вопросу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оперативно сформулированная Секретариатом организации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ОДКБ «наблюдает за происходящим с большой обеспокоенностью»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Секретариат ОДКБ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2026].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Эта формулировка подчеркивает деструктивный характер событий для глобальной архитектуры безопасности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heading 2"/>
        <w:keepNext w:val="0"/>
        <w:keepLines w:val="0"/>
        <w:spacing w:before="0" w:after="0"/>
        <w:ind w:firstLine="567"/>
        <w:jc w:val="both"/>
        <w:outlineLvl w:val="9"/>
        <w:rPr>
          <w:rFonts w:ascii="Times New Roman" w:cs="Times New Roman" w:hAnsi="Times New Roman" w:eastAsia="Times New Roman"/>
          <w:b w:val="0"/>
          <w:bCs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Как нарушается сложившийся баланс сил в Центральной Азии в условиях нарастания глобального противостояния между США и Китаем и усилением влияния региональных и внерегиональных акторов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 Китая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США и Турции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heading 2"/>
        <w:keepNext w:val="0"/>
        <w:keepLines w:val="0"/>
        <w:spacing w:before="0" w:after="0"/>
        <w:ind w:firstLine="567"/>
        <w:jc w:val="both"/>
        <w:outlineLvl w:val="9"/>
        <w:rPr>
          <w:rFonts w:ascii="Times New Roman" w:cs="Times New Roman" w:hAnsi="Times New Roman" w:eastAsia="Times New Roman"/>
          <w:b w:val="0"/>
          <w:bCs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После распада биполярной системы на обширной территории образовался геополитический вакуум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что негативно сказалось на региональной безопасности и вылилось в череду вооруженных конфликтов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Россия стремилась урегулировать отношения с бывшими союзными республиками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выстроить новый баланс сил и обеспечить стратегическую глубину своего присутствия путем создания системы союзов военного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политического и экономического характера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Этому способствовали прочные оборонительные и инфраструктурные связи на пространстве бывшего СССР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При этом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выстраивая отношения с постсоветскими странами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Россия традиционно исходит из принципов геополитического реализма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Тренин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, 202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3,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. 420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].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Анализируя текущий баланс сил в Центральной Азии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автор приходит к выводу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исторически сложившийся региональный комплекс безопасности находится в процессе эрозии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Этот процесс обусловлен рядом геополитических факторов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отвлечением ресурсов России на другие направления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экономической экспансией и растущим политическим влиянием Китая в регионе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системным интересом США к странам региона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расширением турецких интересов и другими факторами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Безусловно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одной из важнейших угроз безопасности в Центральной Азии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способной дестабилизировать регион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остается напряженная и деградирующая обстановка в Афганистане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где все более проявляются признаки глубокого социально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экономического кризиса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способного перерасти в гуманитарную катастрофу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Каширина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, 202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85</w:t>
      </w:r>
      <w:r>
        <w:rPr>
          <w:rFonts w:ascii="Times New Roman" w:hAnsi="Times New Roma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Особую тревогу вызывают участившиеся в конце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года случаи нарушения государственной границы Таджикистана со стороны Афганистана и нападения с применением беспилотных летательных аппаратов и огнестрельного оружия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Предлагаемая авторами концепция «рациональной ассиметрии» подразумевает трансформацию механизмов ОДКБ от деятельности в рамках классического военно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политического союза к многофункциональному институту региональной безопасности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где российское участие носит характер стержневого элемента Организации и является гарантом суверенитета государств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членов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их технологической и ресурсной устойчивости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Внутренние институциональные механизмы Организации позволяют ей функционировать в гибком режиме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адаптируясь к многовекторности внешнеполитических курсов государств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членов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достигается посредством тщательного разграничения зон пересечения национальных интересов партнеров и создания прозрачных правовых механизмов урегулирования споров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мнению авторов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основными направлениями сотрудничества России с государствами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членами ОДКБ должны быть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hint="default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Военно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техническое сотрудничество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включающее интенсивное перевооружение  армий союзников новейшими системами вооружений и обучение современным способам ведения боевых действий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hint="default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Миграционное сотрудничество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рамках которого Россия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ввиду нехватки трудовых ресурсов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принимает значительное число трудовых мигрантов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способствует социально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экономической стабильности в странах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партнерах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особенно в государствах с низким уровнем экономического развития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hint="default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Цифровое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технологическое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сотрудничество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включающее присутствие на рынках стран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партнеров российских цифровых и технологических компаний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работающих с обработкой данных и развитием искусственного интеллекта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также  действующих в сферах связи и массовых коммуникаций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интернет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торговли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электронной коммерции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создании финансовых экосистем и 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hint="default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Энергетическое сотрудничество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включающее создание единого энергетического рынка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совместные проекты в атомной энергетике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льготные режимы поставок энергоресурсов для партнеров и прочее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Раскрывая четыре основных направления сотрудничества между Россией и странами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партнерами по ОДКБ с целью наиболее эффективного поддержания регионального баланса сил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авторы исходят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первых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 их комплексной и одновременной реализации 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вторых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 постепенной синхронизации указанных направлений сотрудничества с функциональными механизмами ОДКБ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Источники и литература</w:t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National Security Strategy of the United States. White House. (2026). Washington, DC. URL: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"http://www.whitehouse.gov"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www.whitehouse.gov</w:t>
      </w: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Комментарий Секретариата ОДКБ в связи с нанесением военно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воздушных ударов США и Израиля по Ирану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(28 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февраля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2026 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года</w:t>
      </w:r>
      <w:r>
        <w:rPr>
          <w:rFonts w:ascii="Times New Roman" w:hAnsi="Times New Roma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) [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Электронный ресурс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] //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Организация Договора о коллективной безопасности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офиц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сайт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2026.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28 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февр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— Режим доступа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: odkb-csto.org (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дата обращения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: 01.03.2026).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Каширина 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Турлыбаева Д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Организация Договора о коллективной безопасности и её деятельность в военно‑политической сфере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монография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2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‑е изд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br w:type="textWrapping"/>
        <w:t>М</w:t>
      </w:r>
      <w:r>
        <w:rPr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. 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Издательско‑торговая корпорация «Дашков и К»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2025.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268.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bidi w:val="0"/>
        <w:spacing w:before="0" w:line="240" w:lineRule="auto"/>
        <w:ind w:left="0" w:right="0" w:firstLine="567"/>
        <w:jc w:val="both"/>
        <w:rPr>
          <w:rtl w:val="0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Тренин Д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Новый баланс сил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Россия в поисках внешнеполитического равновесия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— М</w:t>
      </w:r>
      <w:r>
        <w:rPr>
          <w:rFonts w:ascii="Times New Roman" w:hAnsi="Times New Roma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. 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Альпина Паблишер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2023.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471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ISBN 978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‑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‑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9614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‑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5970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‑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Сноска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u w:color="000000"/>
          <w:vertAlign w:val="superscript"/>
          <w:rtl w:val="0"/>
          <w14:textOutline w14:w="12700" w14:cap="flat">
            <w14:noFill/>
            <w14:miter w14:lim="400000"/>
          </w14:textOutline>
        </w:rPr>
        <w:footnoteRef/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Основные положения и выводы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представленные в данном докладе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сформулированы автором в рамках подготовки диссертационного исследования на соискание ученой степени кандидата политических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 наук по теме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Трансформация механизмов ОДКБ в условиях формирования полицентричного миропорядка</w:t>
      </w:r>
      <w:r>
        <w:rPr>
          <w:rFonts w:ascii="Times New Roman" w:hAnsi="Times New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Автор благодарит своего научного руководителя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профессора Жибек Сапарбековну Сыздыкову за экспертную помощь в систематизации материала и профессиональную мотивацию в научно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исследовательской деятельности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560"/>
          <w:tab w:val="num" w:pos="9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3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960"/>
          <w:tab w:val="num" w:pos="13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75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960"/>
          <w:tab w:val="left" w:pos="1120"/>
          <w:tab w:val="num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111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960"/>
          <w:tab w:val="left" w:pos="1120"/>
          <w:tab w:val="left" w:pos="1680"/>
          <w:tab w:val="num" w:pos="20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147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960"/>
          <w:tab w:val="left" w:pos="1120"/>
          <w:tab w:val="left" w:pos="1680"/>
          <w:tab w:val="num" w:pos="240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183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960"/>
          <w:tab w:val="left" w:pos="1120"/>
          <w:tab w:val="left" w:pos="1680"/>
          <w:tab w:val="left" w:pos="2240"/>
          <w:tab w:val="num" w:pos="27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21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960"/>
          <w:tab w:val="left" w:pos="1120"/>
          <w:tab w:val="left" w:pos="1680"/>
          <w:tab w:val="left" w:pos="2240"/>
          <w:tab w:val="left" w:pos="2800"/>
          <w:tab w:val="num" w:pos="312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255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960"/>
          <w:tab w:val="left" w:pos="1120"/>
          <w:tab w:val="left" w:pos="1680"/>
          <w:tab w:val="left" w:pos="2240"/>
          <w:tab w:val="left" w:pos="2800"/>
          <w:tab w:val="num" w:pos="34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291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960"/>
          <w:tab w:val="left" w:pos="1120"/>
          <w:tab w:val="left" w:pos="1680"/>
          <w:tab w:val="left" w:pos="2240"/>
          <w:tab w:val="left" w:pos="2800"/>
          <w:tab w:val="left" w:pos="3360"/>
          <w:tab w:val="num" w:pos="384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ind w:left="327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С числами.0"/>
  </w:abstractNum>
  <w:abstractNum w:abstractNumId="3">
    <w:multiLevelType w:val="hybridMultilevel"/>
    <w:styleLink w:val="С числами.0"/>
    <w:lvl w:ilvl="0">
      <w:start w:val="1"/>
      <w:numFmt w:val="decimal"/>
      <w:suff w:val="tab"/>
      <w:lvlText w:val="%1."/>
      <w:lvlJc w:val="left"/>
      <w:pPr>
        <w:tabs>
          <w:tab w:val="left" w:pos="560"/>
          <w:tab w:val="num" w:pos="8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num" w:pos="16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4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22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2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0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34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482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4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2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2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5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num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носка">
    <w:name w:val="Сноска"/>
    <w:next w:val="Сно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auto"/>
      <w:ind w:left="0" w:right="0" w:firstLine="0"/>
      <w:jc w:val="left"/>
      <w:outlineLvl w:val="1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numbering" w:styleId="С числами.0">
    <w:name w:val="С числами.0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