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65" w:rsidRDefault="00A33C65" w:rsidP="00D67C96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3C65">
        <w:rPr>
          <w:rFonts w:ascii="Times New Roman" w:hAnsi="Times New Roman" w:cs="Times New Roman"/>
          <w:b/>
          <w:bCs/>
          <w:sz w:val="24"/>
          <w:szCs w:val="24"/>
        </w:rPr>
        <w:t>Дуальность</w:t>
      </w:r>
      <w:proofErr w:type="spellEnd"/>
      <w:r w:rsidRPr="00A33C65">
        <w:rPr>
          <w:rFonts w:ascii="Times New Roman" w:hAnsi="Times New Roman" w:cs="Times New Roman"/>
          <w:b/>
          <w:bCs/>
          <w:sz w:val="24"/>
          <w:szCs w:val="24"/>
        </w:rPr>
        <w:t xml:space="preserve"> алкогольного рынка в странах Ближнего Востока и Северной Африки: статистика, социальные практики и перспективы регулирования</w:t>
      </w:r>
    </w:p>
    <w:p w:rsidR="007E68E3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7C96">
        <w:rPr>
          <w:rFonts w:ascii="Times New Roman" w:hAnsi="Times New Roman" w:cs="Times New Roman"/>
          <w:sz w:val="24"/>
          <w:szCs w:val="24"/>
        </w:rPr>
        <w:t>Козлов К. В</w:t>
      </w:r>
      <w:r w:rsidRPr="00D67C96">
        <w:rPr>
          <w:rFonts w:ascii="Times New Roman" w:hAnsi="Times New Roman" w:cs="Times New Roman"/>
          <w:sz w:val="24"/>
          <w:szCs w:val="24"/>
        </w:rPr>
        <w:t>.</w:t>
      </w:r>
    </w:p>
    <w:p w:rsidR="00D67C96" w:rsidRPr="00D67C96" w:rsidRDefault="00D67C96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t xml:space="preserve">Науч. Рук.: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Л. С. </w:t>
      </w:r>
    </w:p>
    <w:p w:rsidR="007E68E3" w:rsidRPr="00D67C96" w:rsidRDefault="00D67C96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t>ИСАА МГУ им. М. В. Ломоносова</w:t>
      </w:r>
    </w:p>
    <w:p w:rsidR="00D67C96" w:rsidRPr="00D67C96" w:rsidRDefault="00D67C96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E68E3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t xml:space="preserve">В общественном и научном дискурсе арабские государства традиционно воспринимаются как регион с практически нулевым уровнем потребления алкоголя, что объясняется доминированием ислама. Однако фрагментарные данные ВОЗ и полевые исследования фиксируют наличие устойчивого спроса, существование нелегального рынка и рост числа заболеваний, связанных с алкоголем. Основная научная проблема заключается в противоречии между официальной статистикой и реальными практиками: законодательные запреты и религиозные нормы вытесняют потребление в «тень», что делает невозможным достоверную оценку масштабов явления и, как следствие, выработку эффективной политики здравоохранения. В работе ставится вопрос о необходимости пересмотра подходов к изучению алкогольного рынка в арабском мире через призму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дуальности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(легальный/теневой сегменты) и изменения потребительских паттернов под влиянием глобализации.</w:t>
      </w:r>
    </w:p>
    <w:p w:rsidR="007E68E3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t xml:space="preserve">Историю вопроса можно разделить на два блока. Первый —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макростатистические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отчеты Всемирной организации</w:t>
      </w:r>
      <w:r w:rsidR="00D67C96" w:rsidRPr="00D67C96"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Pr="00D67C96">
        <w:rPr>
          <w:rFonts w:ascii="Times New Roman" w:hAnsi="Times New Roman" w:cs="Times New Roman"/>
          <w:sz w:val="24"/>
          <w:szCs w:val="24"/>
        </w:rPr>
        <w:t>, которые дают общую картину по региону Восточного Средиземноморья, но не учитывают нелегальный оборот. Второй блок — узконаправленные «полевые» исследования, проводимые в отдельных странах (КСА, Иордания, Ирак, Ливан).</w:t>
      </w:r>
      <w:r w:rsidR="00D67C96" w:rsidRPr="00D67C96">
        <w:rPr>
          <w:rFonts w:ascii="Times New Roman" w:hAnsi="Times New Roman" w:cs="Times New Roman"/>
          <w:sz w:val="24"/>
          <w:szCs w:val="24"/>
        </w:rPr>
        <w:t xml:space="preserve"> Авторы таких работ</w:t>
      </w:r>
      <w:r w:rsidRPr="00D67C96">
        <w:rPr>
          <w:rFonts w:ascii="Times New Roman" w:hAnsi="Times New Roman" w:cs="Times New Roman"/>
          <w:sz w:val="24"/>
          <w:szCs w:val="24"/>
        </w:rPr>
        <w:t xml:space="preserve"> фиксируют поведенческие аспекты, стигматизацию и последствия отравлений, однако их данные ограничены выборкой и не экстраполируются на весь регион. Комплексного анализа, объединяющего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макростатистику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ВОЗ, данные токсикологии и социологические опросы для арабских стран, до сих пор проведено не было.</w:t>
      </w:r>
    </w:p>
    <w:p w:rsidR="007E68E3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Источниковую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базу составили: 1) статистика ВОЗ за 2018 г. по 22 арабским государствам (объемы потребления чистого спирта, гендерный срез, предпочтения напитков, показатели заболеваемости); 2) данные статьи «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... 1990–2019» по смертности и показателю DALY; 3) результаты клинических исследований в Саудовской Аравии (выборка 550 пациентов, больницы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Хаиля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Наджрана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Джидды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>); 4) опросы студенческой молодежи в Ираке (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Эрбиль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>, 368 респондентов), Иордании (708 респондентов) и качественные интервью с жителями стран ССАГПЗ (2024 г.).</w:t>
      </w:r>
    </w:p>
    <w:p w:rsidR="007E68E3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t>Методология основана на сравнительно-сопоставительном анализе: данные ВОЗ сопоставляются с клиническими случаями и социологическими опросами для выявления расхождений. Использован метод кейс-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(Саудовская Аравия, Ирак, ОАЭ) для демонстрации общих трендов. Также применен системный анализ для оценки влияния запретительной политики на структуру потребления (легальный/нелегальный сегменты).</w:t>
      </w:r>
    </w:p>
    <w:p w:rsidR="00D67C96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t xml:space="preserve">Новизна работы заключается в отказе от рассмотрения арабского мира как монолитного «трезвого» региона. Впервые акцент сделан на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дуальности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алкогольного рынка: показано, что официальные цифры (0,4–5,4 л на человека) не отражают масштабов потребления контрафактной и домашней продукции. Автором выявлена корреляция между жесткостью запрета и ростом отравлений суррогатами (на примере КСА). Также новизна связана с анализом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trend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— появления «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халяльной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>» алкогольной продукции (безалкогольное вино, виски), которая может изменить политику регулирования в будущем.</w:t>
      </w:r>
    </w:p>
    <w:p w:rsidR="007E68E3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lastRenderedPageBreak/>
        <w:t>Анализ данных ВОЗ подтвердил низкие средние показатели по региону (0,6 л чистого спирта), однако внутригрупповое ранжирование выявило существенные различия: от почти нулевого потребления в Мавритании и Кувейте до 5,4 л в ОАЭ. Гендерный разрыв (мужчины потребляют в десятки раз больше женщин) указывает на сохранение строгих социальных табу. Статистика вкусовых предпочтений демонстрирует, что вино не является лидирующим напитком ни в одной из стран, уступая пиву или крепкому алкоголю.</w:t>
      </w:r>
    </w:p>
    <w:p w:rsidR="007E68E3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t>Клинические данные из Саудовской Аравии (2015–2022 гг.) показали, что 77% случаев отравления алкоголем приходится на молодежь 19–30 лет. У 83,3% употребляющих зафиксированы провалы в памяти, у 70% — патологии печени. Причины потребления: влияние окружения (29%), стресс (11%), депрессия (8%). В Ираке студенты отмечают рост потребления после 2003 года и называют основными драйверами любопытство, подражание Западу и скуку (отсутствие досуга). Опрос в Иордании выявил, что средний возраст начала потребления — 18 лет, при этом студенты-медики пьют реже, чем их сверстники с технических специальностей.</w:t>
      </w:r>
    </w:p>
    <w:p w:rsidR="00D67C96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t>Особый блок исследования посвящен странам Залива (ССАГПЗ). Несмотря на полный запрет в Кувейте и КСА, абсолютные показатели потребления здесь выше, чем в среднем по региону. Интервью 2024 г. подтвердили распространенность нелегального оборота. Респонденты указали, что запрет не решает проблему, а лишь усугубляет ее, провоцируя спрос на дешевый контрафакт. В качестве альтернативы рассматривается частичная легализация или продвижение безалкогольной продукции.</w:t>
      </w:r>
    </w:p>
    <w:p w:rsidR="00457C84" w:rsidRPr="00D67C96" w:rsidRDefault="007E68E3" w:rsidP="00D67C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7C96">
        <w:rPr>
          <w:rFonts w:ascii="Times New Roman" w:hAnsi="Times New Roman" w:cs="Times New Roman"/>
          <w:sz w:val="24"/>
          <w:szCs w:val="24"/>
        </w:rPr>
        <w:t>Потребление алкоголя в арабских странах носит латентный, но устойчивый характер. Официальная статистика ВОЗ занижает реальные масштабы из-за невозможности учета нелегального сегмента.</w:t>
      </w:r>
      <w:r w:rsidR="00D67C96" w:rsidRPr="00D67C96">
        <w:rPr>
          <w:rFonts w:ascii="Times New Roman" w:hAnsi="Times New Roman" w:cs="Times New Roman"/>
          <w:sz w:val="24"/>
          <w:szCs w:val="24"/>
        </w:rPr>
        <w:t xml:space="preserve"> </w:t>
      </w:r>
      <w:r w:rsidRPr="00D67C96">
        <w:rPr>
          <w:rFonts w:ascii="Times New Roman" w:hAnsi="Times New Roman" w:cs="Times New Roman"/>
          <w:sz w:val="24"/>
          <w:szCs w:val="24"/>
        </w:rPr>
        <w:t xml:space="preserve">Основными потребителями выступают мужчины; женское потребление минимально и стигматизировано. Среди молодежи фиксируется рост интереса к алкоголю, мотивированный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вестернизацией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и недостатком досуга.</w:t>
      </w:r>
      <w:r w:rsidR="00D67C96" w:rsidRPr="00D67C96">
        <w:rPr>
          <w:rFonts w:ascii="Times New Roman" w:hAnsi="Times New Roman" w:cs="Times New Roman"/>
          <w:sz w:val="24"/>
          <w:szCs w:val="24"/>
        </w:rPr>
        <w:t xml:space="preserve"> </w:t>
      </w:r>
      <w:r w:rsidRPr="00D67C96">
        <w:rPr>
          <w:rFonts w:ascii="Times New Roman" w:hAnsi="Times New Roman" w:cs="Times New Roman"/>
          <w:sz w:val="24"/>
          <w:szCs w:val="24"/>
        </w:rPr>
        <w:t>Запретительная политика (особенно в КСА, Кувейте) приводит к обратному эффекту: росту отравлений суррогатами, хроническим заболеваниям и летальным исходам, которые остаются вне поля зрения официальной статистики.</w:t>
      </w:r>
      <w:r w:rsidR="00D67C96" w:rsidRPr="00D67C96">
        <w:rPr>
          <w:rFonts w:ascii="Times New Roman" w:hAnsi="Times New Roman" w:cs="Times New Roman"/>
          <w:sz w:val="24"/>
          <w:szCs w:val="24"/>
        </w:rPr>
        <w:t xml:space="preserve"> </w:t>
      </w:r>
      <w:r w:rsidRPr="00D67C96">
        <w:rPr>
          <w:rFonts w:ascii="Times New Roman" w:hAnsi="Times New Roman" w:cs="Times New Roman"/>
          <w:sz w:val="24"/>
          <w:szCs w:val="24"/>
        </w:rPr>
        <w:t>Назрела необходимость смены парадигмы: от полного табу к политике</w:t>
      </w:r>
      <w:r w:rsidR="00D67C96" w:rsidRPr="00D67C96">
        <w:rPr>
          <w:rFonts w:ascii="Times New Roman" w:hAnsi="Times New Roman" w:cs="Times New Roman"/>
          <w:sz w:val="24"/>
          <w:szCs w:val="24"/>
        </w:rPr>
        <w:t xml:space="preserve"> снижения вреда</w:t>
      </w:r>
      <w:r w:rsidRPr="00D67C96">
        <w:rPr>
          <w:rFonts w:ascii="Times New Roman" w:hAnsi="Times New Roman" w:cs="Times New Roman"/>
          <w:sz w:val="24"/>
          <w:szCs w:val="24"/>
        </w:rPr>
        <w:t>. Перспективным направлением является развитие сегмента безалкогольных напитков, сертифицированных как «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халяль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>», что позволяет удовлетворить спрос без нарушения религиозных норм. Опыт ОАЭ и недавние инициативы Саудовской Аравии (создание «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халяльного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виски») подтверждают этот тренд.</w:t>
      </w:r>
      <w:r w:rsidR="00D67C96" w:rsidRPr="00D67C96">
        <w:rPr>
          <w:rFonts w:ascii="Times New Roman" w:hAnsi="Times New Roman" w:cs="Times New Roman"/>
          <w:sz w:val="24"/>
          <w:szCs w:val="24"/>
        </w:rPr>
        <w:t xml:space="preserve"> </w:t>
      </w:r>
      <w:r w:rsidRPr="00D67C96">
        <w:rPr>
          <w:rFonts w:ascii="Times New Roman" w:hAnsi="Times New Roman" w:cs="Times New Roman"/>
          <w:sz w:val="24"/>
          <w:szCs w:val="24"/>
        </w:rPr>
        <w:t xml:space="preserve">Требуется </w:t>
      </w:r>
      <w:proofErr w:type="spellStart"/>
      <w:r w:rsidRPr="00D67C96">
        <w:rPr>
          <w:rFonts w:ascii="Times New Roman" w:hAnsi="Times New Roman" w:cs="Times New Roman"/>
          <w:sz w:val="24"/>
          <w:szCs w:val="24"/>
        </w:rPr>
        <w:t>дестигматизация</w:t>
      </w:r>
      <w:proofErr w:type="spellEnd"/>
      <w:r w:rsidRPr="00D67C96">
        <w:rPr>
          <w:rFonts w:ascii="Times New Roman" w:hAnsi="Times New Roman" w:cs="Times New Roman"/>
          <w:sz w:val="24"/>
          <w:szCs w:val="24"/>
        </w:rPr>
        <w:t xml:space="preserve"> проблемы и внедрение образовательных программ о безопасном потреблении, аналогичных западным практикам, но с учетом локальной специфики.</w:t>
      </w:r>
    </w:p>
    <w:sectPr w:rsidR="00457C84" w:rsidRPr="00D67C96" w:rsidSect="00A33C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E3"/>
    <w:rsid w:val="00457C84"/>
    <w:rsid w:val="007E68E3"/>
    <w:rsid w:val="00A33C65"/>
    <w:rsid w:val="00D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6849"/>
  <w15:chartTrackingRefBased/>
  <w15:docId w15:val="{8455F9B5-DF07-440D-A854-0618C962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2026-03-09T18:47:00Z</dcterms:created>
  <dcterms:modified xsi:type="dcterms:W3CDTF">2026-03-09T19:09:00Z</dcterms:modified>
</cp:coreProperties>
</file>