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Социально-политические аспекты уголовного кодекса Исламского Эмирата Афганистана (2026 г.)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igulmamedov2005@mail.ru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 приходом движения “Талибан” к власти в Афганистане в 2021 г. в стране перестал действовать прежний уголовный кодекс, судебный процесс основывался на частных указах Верховного лидера и на вольной интерпретации ханафитского фикха судьями-кади. 3 февраля 2026 г. в Исламском Эмирате Афганистана был принят новый уголовный кодекс, публикация которого расширила возможности в исследовании социально-политического устройства Афганистана в правление Талибана (с 2021 г.). Изучение и анализ текста документа позволяет сформировать представления о правовой системе Исламского Эмирата, социальной иерархии в афганском обществе, политических мотивах законодательства. В 2024 г. 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идер движения «Талибан» эмир Хайбатулла Ахундзада заявил, что нынешний государственный строй в Афганистане основан только на Коране и шариате, что позволяет отнести доклад в поле исламских исследований (исламоведения). Уголовный кодекс Афганистана (2026 г.) является примером исключительно теократического законодательства. 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Теоретическая база для анализа уголовного права стран исламского мира была заложена в трудах классиков востоковедения и сравнительного правоведения. В российской науке ключевой фигурой исламского правоведения является Л.Р. Сюкияйнен, в работах которого рассматривается соотношение шариата и фикха, взаимодействие исламской и европейской правовых традиций. Исследователи, такие как А.А. Манна и Л.А. Букалерова, отмечают иерархию источников мусульманского уголовного права, включая Коран, Сунну, иджму и кыяс. Правовед Б.А. Антонов подробно описывает особенности правовой системы в Афганистане в период правления Талибана.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 – фирман Верховного эмира Хайбатуллы Ахундзады, содержащий основы уголовного законодательства. Документ состоит из 58 страниц и делится на составные части: введение, 3 раздела, 10  глав и 119 статей. Кодекс написан на языке пушту, сноски приводятся на арабском. В настоящий момент документ не переведен, что делает работу с официальным источником возможной только для профильных востоковедов, владеющих и работающих с государственными языками Афганистана (языком пушту, в частности).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Впервые в российской науке проводится анализ уголовного кодекса Исламского Эмирата Афганистана (2026 г.). Рассматривается специфика афганской модели кодификации ханафитского фикха, исследуются политические инструменты кодекса. Поднимается проблема социальной дискриминации и гендерного неравенства в современном Афганистане. 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доклада является подробная и структурная оценка социально-политической ситуации в Исламском Эмирате Афганистана по данным уголовного кодекса. 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Уголовный кодекс Исламского Эмирата Афганистана (от 3 февраля 2026 года) [Электронный ресурс]. URL: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https://rawadari.org/wp-content/uploads/2026/01/%D9%85%D8%AA%D8%AD%D8%AF%D8%A7%D9%84%D9%85%D8%A2%D9%84_%DA%AB%DA%BC%D9%87_%DB%B2%DB%B2_%D9%BE%DA%9A%D8%AA%D9%88%D8%8C_%DA%A9%D8%A7%D9%84_%DB%B1%DB%B4%DB%B4%DB%B7_%D9%82.pdf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Коран [Электронный ресурс] / пер. с араб. И. Ю. Крачковского. – URL: [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https://falaq.ru/quran/krac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](https://falaq.ru/quran/krac).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Сахих аль-Бухари [Электронный ресурс] / имам Мухаммад ибн Исмаил аль-Бухари ; рус. пер. В. Нирша. – Иснад. – URL: [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https://isnad.link/book/sahih-al-buhari](https://isnad.link/book/sahih-al-buhari)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Сахих Муслим [Электронный ресурс] / имам Муслим ибн аль-Хаджадж ; рус. пер. В. Нирша, ред. «Даура». – Иснад. – URL: [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https://isnad.link/book/sahih-muslim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](https://isnad.link/book/sahih-muslim).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Антонов Б. А. Об особенностях правовой системы Афганистана в период правления движения «Талибан» // Вестник РГГУ. Серия «Экономика. Управление. Право». — 2021. — № 3-1. — С. 78–89.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Манна А.А., Букалерова Л.А.  Источники мусульманского уголовного права // Административное и муниципальное право.  2013. № 12.  С. 1174-1179.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Сюкияйнен Л.Р. Мусульманское право. Вопросы теории и практики. М., 1986.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snad.link/book/sahih-muslim" TargetMode="External"/><Relationship Id="rId10" Type="http://schemas.openxmlformats.org/officeDocument/2006/relationships/hyperlink" Target="https://isnad.link/book/sahih-al-buhari%5D(https://isnad.link/book/sahih-al-buhari)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alaq.ru/quran/krac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gulmamedov2005@mail.ru" TargetMode="External"/><Relationship Id="rId8" Type="http://schemas.openxmlformats.org/officeDocument/2006/relationships/hyperlink" Target="https://rawadari.org/wp-content/uploads/2026/01/%D9%85%D8%AA%D8%AD%D8%AF%D8%A7%D9%84%D9%85%D8%A2%D9%84_%DA%AB%DA%BC%D9%87_%DB%B2%DB%B2_%D9%BE%DA%9A%D8%AA%D9%88%D8%8C_%DA%A9%D8%A7%D9%84_%DB%B1%DB%B4%DB%B4%DB%B7_%D9%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uzd+QaWwcC+JT6XYJXdMoGoW1A==">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