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25" w:line="240" w:lineRule="auto"/>
        <w:ind w:left="0" w:right="0" w:firstLine="709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Стратегия реализации концепции «умного города» в г</w:t>
      </w:r>
      <w:r>
        <w:rPr>
          <w:rFonts w:ascii="Times New Roman" w:hAnsi="Times New Roman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Кхонкэн</w:t>
      </w:r>
      <w:r>
        <w:rPr>
          <w:rFonts w:ascii="Times New Roman" w:hAnsi="Times New Roman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Таиланд</w:t>
      </w:r>
      <w:r>
        <w:rPr>
          <w:rFonts w:ascii="Times New Roman" w:hAnsi="Times New Roman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модел</w:t>
      </w:r>
      <w:r>
        <w:rPr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ь</w:t>
      </w:r>
      <w:r>
        <w:rPr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управления «снизу</w:t>
      </w:r>
      <w:r>
        <w:rPr>
          <w:rFonts w:ascii="Times New Roman" w:hAnsi="Times New Roman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b w:val="1"/>
          <w:bCs w:val="1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вверх»</w:t>
      </w:r>
    </w:p>
    <w:p>
      <w:pPr>
        <w:pStyle w:val="По умолчанию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center"/>
        <w:outlineLvl w:val="1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color="000000"/>
          <w:rtl w:val="0"/>
          <w:lang w:val="ru-RU"/>
        </w:rPr>
        <w:t>Гореленкова Анастасия Андреевна</w:t>
      </w:r>
    </w:p>
    <w:p>
      <w:pPr>
        <w:pStyle w:val="По умолчанию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center"/>
        <w:outlineLvl w:val="1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магистрант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6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Московский государственный университет им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М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Москва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Россия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8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u w:color="000000"/>
          <w:shd w:val="clear" w:color="auto" w:fill="ffffff"/>
          <w:rtl w:val="0"/>
        </w:rPr>
      </w:pPr>
      <w:r>
        <w:rPr>
          <w:rFonts w:ascii="Times New Roman" w:hAnsi="Times New Roman"/>
          <w:i w:val="1"/>
          <w:iCs w:val="1"/>
          <w:u w:color="000000"/>
          <w:rtl w:val="0"/>
          <w:lang w:val="de-DE"/>
        </w:rPr>
        <w:t>E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</w:rPr>
        <w:t>–</w:t>
      </w:r>
      <w:r>
        <w:rPr>
          <w:rFonts w:ascii="Times New Roman" w:hAnsi="Times New Roman"/>
          <w:i w:val="1"/>
          <w:iCs w:val="1"/>
          <w:u w:color="000000"/>
          <w:rtl w:val="0"/>
          <w:lang w:val="de-DE"/>
        </w:rPr>
        <w:t>mail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</w:rPr>
        <w:t xml:space="preserve">: </w:t>
      </w:r>
      <w:r>
        <w:rPr>
          <w:rFonts w:ascii="Times New Roman" w:hAnsi="Times New Roman"/>
          <w:i w:val="1"/>
          <w:iCs w:val="1"/>
          <w:u w:color="000000"/>
          <w:rtl w:val="0"/>
          <w:lang w:val="en-US"/>
        </w:rPr>
        <w:t>hushvush@mail.ru</w:t>
      </w:r>
    </w:p>
    <w:p>
      <w:pPr>
        <w:pStyle w:val="По умолчанию"/>
        <w:bidi w:val="0"/>
        <w:spacing w:before="25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Таиланд на данный момент является одной из ведущих стран АСЕАН в части реализации общерегиональной концепции «Умный город»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Б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лагодаря росту национальных инициатив в странах АСЕАН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2014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складываются предпосылки для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формирования рамочной</w:t>
      </w:r>
      <w:r>
        <w:rPr>
          <w:rFonts w:ascii="Times New Roman" w:hAnsi="Times New Roman"/>
          <w:outline w:val="0"/>
          <w:color w:val="b51a00"/>
          <w:u w:color="b51a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B51A00"/>
            </w14:solidFill>
          </w14:textFill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концепции «умных городов»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 результате в апреле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2018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на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32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Саммите всеми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странами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членами АСЕАН была принята Рамочная конвенция «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ASEAN Smart Cities Framework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[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ASEAN Smart Cities Framework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2018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]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 стороны Таиланда изначально было заявлено об участии в программе таких крупных городов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Бангкок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Чиангмай и Пхукет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Однако местные жители г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Кхонкэн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расположенно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го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на северо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востоке страны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в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наиболее слаборазвитом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регионе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—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Исан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[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The Bureau of Registration Administration (BORA), Department of Provincial Administration (DOPA)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],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смогли добиться включения своего города в число проектов «умных городов»</w:t>
      </w:r>
      <w:r>
        <w:rPr>
          <w:rFonts w:ascii="Times New Roman" w:hAnsi="Times New Roman"/>
          <w:u w:color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Если для подавляющего большинства городов региона свойственна модель управления «сверху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вниз»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решения власти задают вектор развития проектов в представленной сфере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 в случае Кхонкэна прослеживается обратная ситуация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25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чем же состоит уникальность данного города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удалось отойти от традиционной для Таиланда централизованной модели «сверху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вниз» к инициативе местного частного сектора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Насколько на самом деле вовлеченным в процессы создания «умного города» оказалось местное сообщество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удалось выстроить горизонтальный диалог с локальной властью и привлечь внимание национального уровня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Какие составляющие «умного города» являются приоритетными для местного населения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бизнеса и власти Кхонкэна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567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 w:hint="default"/>
          <w:u w:color="000000"/>
          <w:rtl w:val="0"/>
          <w:lang w:val="ru-RU"/>
        </w:rPr>
        <w:t>В проведенном исследовании ключевыми источниками являются ряд нормативных документов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статистических отчетов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сайт инициаторов проекта</w:t>
      </w:r>
      <w:r>
        <w:rPr>
          <w:rFonts w:ascii="Times New Roman" w:hAnsi="Times New Roman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</w:rPr>
        <w:t>и социалогическиий опрос</w:t>
      </w:r>
      <w:r>
        <w:rPr>
          <w:rFonts w:ascii="Times New Roman" w:hAnsi="Times New Roman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ASEAN Smart Cities Framework </w:t>
      </w:r>
      <w:r>
        <w:rPr>
          <w:rFonts w:ascii="Times New Roman" w:hAnsi="Times New Roman"/>
          <w:u w:color="000000"/>
          <w:rtl w:val="0"/>
          <w:lang w:val="ru-RU"/>
        </w:rPr>
        <w:t xml:space="preserve">(2018 </w:t>
      </w:r>
      <w:r>
        <w:rPr>
          <w:rFonts w:ascii="Times New Roman" w:hAnsi="Times New Roman" w:hint="default"/>
          <w:u w:color="000000"/>
          <w:rtl w:val="0"/>
          <w:lang w:val="ru-RU"/>
        </w:rPr>
        <w:t>г</w:t>
      </w:r>
      <w:r>
        <w:rPr>
          <w:rFonts w:ascii="Times New Roman" w:hAnsi="Times New Roman"/>
          <w:u w:color="000000"/>
          <w:rtl w:val="0"/>
          <w:lang w:val="ru-RU"/>
        </w:rPr>
        <w:t xml:space="preserve">.) </w:t>
      </w:r>
      <w:r>
        <w:rPr>
          <w:rFonts w:ascii="Times New Roman" w:hAnsi="Times New Roman" w:hint="default"/>
          <w:u w:color="000000"/>
          <w:rtl w:val="0"/>
          <w:lang w:val="ru-RU"/>
        </w:rPr>
        <w:t>— нормативно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стратегический акт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который задает наднациональные стандарты и цели «умных городов» Юго</w:t>
      </w:r>
      <w:r>
        <w:rPr>
          <w:rFonts w:ascii="Times New Roman" w:hAnsi="Times New Roman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u w:color="000000"/>
          <w:rtl w:val="0"/>
          <w:lang w:val="ru-RU"/>
        </w:rPr>
        <w:t>Восточной Азии</w:t>
      </w:r>
      <w:r>
        <w:rPr>
          <w:rFonts w:ascii="Times New Roman" w:hAnsi="Times New Roman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>The Bureau of Registration Administration (BORA), Department of Provincial Administration (DOPA)</w:t>
      </w:r>
      <w:r>
        <w:rPr>
          <w:rFonts w:ascii="Times New Roman" w:hAnsi="Times New Roman" w:hint="default"/>
          <w:u w:color="000000"/>
          <w:rtl w:val="0"/>
          <w:lang w:val="en-US"/>
        </w:rPr>
        <w:t xml:space="preserve"> — </w:t>
      </w:r>
      <w:r>
        <w:rPr>
          <w:rFonts w:ascii="Times New Roman" w:hAnsi="Times New Roman" w:hint="default"/>
          <w:u w:color="000000"/>
          <w:rtl w:val="0"/>
          <w:lang w:val="ru-RU"/>
        </w:rPr>
        <w:t>источник статистических данных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необходимый для качественной и количественной оценки вовлеченности местного населения в проект</w:t>
      </w:r>
      <w:r>
        <w:rPr>
          <w:rFonts w:ascii="Times New Roman" w:hAnsi="Times New Roman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>khonkaenthinktank.com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— сайт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созданный объединением местных бизнесменов</w:t>
      </w:r>
      <w:r>
        <w:rPr>
          <w:rFonts w:ascii="Times New Roman" w:hAnsi="Times New Roman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ru-RU"/>
        </w:rPr>
        <w:t>Содержит информацию о частной инвестиционной модели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технических характеристиках проекта и «низовой» взгляд инициаторов</w:t>
      </w:r>
      <w:r>
        <w:rPr>
          <w:rFonts w:ascii="Times New Roman" w:hAnsi="Times New Roman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</w:rPr>
      </w:pPr>
      <w:r>
        <w:rPr>
          <w:rFonts w:ascii="Times New Roman" w:hAnsi="Times New Roman"/>
          <w:u w:color="000000"/>
          <w:rtl w:val="0"/>
          <w:lang w:val="ru-RU"/>
        </w:rPr>
        <w:t>Kamnuansilpa, Peerasit &amp; Sirisak, Laochankham &amp; Crumpton, Charles &amp; Draper, John. (2020). Citizen Awareness of the Smart City: A Study of Khon Kaen, Thailand. The Journal of Asian Finance, Economics and Business. vol7.no7.497</w:t>
      </w:r>
      <w:r>
        <w:rPr>
          <w:rFonts w:ascii="Times New Roman" w:hAnsi="Times New Roman" w:hint="default"/>
          <w:u w:color="000000"/>
          <w:rtl w:val="0"/>
          <w:lang w:val="ru-RU"/>
        </w:rPr>
        <w:t xml:space="preserve"> — социологический опрос</w:t>
      </w:r>
      <w:r>
        <w:rPr>
          <w:rFonts w:ascii="Times New Roman" w:hAnsi="Times New Roman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</w:rPr>
        <w:t>предоставляющий данные об осведомленности местных жителей об «умном городе» и приоритете его составляющих</w:t>
      </w:r>
      <w:r>
        <w:rPr>
          <w:rFonts w:ascii="Times New Roman" w:hAnsi="Times New Roman"/>
          <w:u w:color="000000"/>
          <w:rtl w:val="0"/>
          <w:lang w:val="ru-RU"/>
        </w:rPr>
        <w:t>;</w:t>
      </w:r>
    </w:p>
    <w:p>
      <w:pPr>
        <w:pStyle w:val="По умолчанию"/>
        <w:bidi w:val="0"/>
        <w:spacing w:before="25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Анализ регулирующих документов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а также данных статистики и социологических опросов показал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numPr>
          <w:ilvl w:val="0"/>
          <w:numId w:val="2"/>
        </w:numPr>
        <w:bidi w:val="0"/>
        <w:spacing w:before="25" w:line="240" w:lineRule="auto"/>
        <w:ind w:right="0"/>
        <w:jc w:val="both"/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Транспортный вектор определен одним из ключевых в стратегии развития Таиланда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Наибольший интерес его осуществления представляет не столичная агломерация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а региональные центры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такие как г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Кхонкэн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где реализуются проекты не «сверху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вниз»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а в ответ на запрос местного частного сектора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khonkaenthinktank.com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дата обращения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 01.03.2026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];</w:t>
      </w:r>
    </w:p>
    <w:p>
      <w:pPr>
        <w:pStyle w:val="По умолчанию"/>
        <w:numPr>
          <w:ilvl w:val="0"/>
          <w:numId w:val="2"/>
        </w:numPr>
        <w:bidi w:val="0"/>
        <w:spacing w:before="25" w:line="240" w:lineRule="auto"/>
        <w:ind w:right="0"/>
        <w:jc w:val="both"/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Несмотря на уникальность подхода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фиксируется низкая вовлеченность рядовых граждан в концепт «умного города»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Это связано с низкой информированностью населения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а также с различиями в приоритетах для бизнес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сообщества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где строительство транспортно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логистического маршрута является основополагающим для экономической активности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в то время как для местных жителей важнее условия проживания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Kamnuansilpa, Peerasit &amp; Sirisak, Laochankham &amp; Crumpton, Charles &amp; Draper, John. (2020). Citizen Awareness of the Smart City: A Study of Khon Kaen, Thailand. The Journal of Asian Finance, Economics and Business. vol7.no7.497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];</w:t>
      </w:r>
    </w:p>
    <w:p>
      <w:pPr>
        <w:pStyle w:val="По умолчанию"/>
        <w:numPr>
          <w:ilvl w:val="0"/>
          <w:numId w:val="2"/>
        </w:numPr>
        <w:bidi w:val="0"/>
        <w:spacing w:before="25" w:line="240" w:lineRule="auto"/>
        <w:ind w:right="0"/>
        <w:jc w:val="both"/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Реализация проекта стала возможной благодаря совпадению интересов местного бизнеса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грамотно выстроенным каналам общения с властью и использованием различных инструментов для привлечения внимания к вопросу — СМИ и социальные сети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При этом наблюдается высокая степень бюрократизации системы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что затягивает их запуск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numPr>
          <w:ilvl w:val="0"/>
          <w:numId w:val="2"/>
        </w:numPr>
        <w:bidi w:val="0"/>
        <w:spacing w:before="25" w:line="240" w:lineRule="auto"/>
        <w:ind w:right="0"/>
        <w:jc w:val="both"/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Благодаря стечению обстоятельств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а именно гражданской инициативе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поддержке власти в силу «престижности» проекта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он стал катализатором для последующего расширения «умных» практик в городе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На основе данной инициативы процесс развития стал масштабироваться и вовлекать более широкие круги населения</w:t>
      </w:r>
      <w:r>
        <w:rPr>
          <w:rFonts w:ascii="Times New Roman" w:hAnsi="Times New Roman"/>
          <w:u w:color="000000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60" w:after="6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</w:rPr>
        <w:t>Источники и литература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ASEAN Smart Cities Framework (2018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.)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The Bureau of Registration Administration (BORA), Department of Provincial Administration (DOPA)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khonkaenthinktank.com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Kamnuansilpa, Peerasit &amp; Sirisak, Laochankham &amp; Crumpton, Charles &amp; Draper, John. (2020). Citizen Awareness of the Smart City: A Study of Khon Kaen, Thailand. The Journal of Asian Finance, Economics and Business. vol7.no7.497</w:t>
      </w:r>
    </w:p>
    <w:sectPr>
      <w:headerReference w:type="default" r:id="rId4"/>
      <w:footerReference w:type="default" r:id="rId5"/>
      <w:pgSz w:w="11906" w:h="16838" w:orient="portrait"/>
      <w:pgMar w:top="1134" w:right="850" w:bottom="1134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4"/>
  </w:abstractNum>
  <w:abstractNum w:abstractNumId="3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8" w:hanging="348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6" w:hanging="27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4" w:hanging="32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2" w:hanging="31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hanging="24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68" w:hanging="288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6" w:hanging="27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204"/>
        </w:tabs>
        <w:ind w:left="6384" w:hanging="204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Пункт">
    <w:name w:val="Пункт"/>
    <w:pPr>
      <w:numPr>
        <w:numId w:val="1"/>
      </w:numPr>
    </w:pPr>
  </w:style>
  <w:style w:type="numbering" w:styleId="Импортированный стиль 4">
    <w:name w:val="Импортированный стиль 4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