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  <w:t>УДК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0" w:firstLineChars="0"/>
        <w:jc w:val="center"/>
        <w:textAlignment w:val="auto"/>
        <w:rPr>
          <w:rFonts w:hint="default" w:ascii="Times New Roman Bold" w:hAnsi="Times New Roman Bold" w:cs="Times New Roman Bold" w:eastAsiaTheme="minorEastAsia"/>
          <w:b/>
          <w:bCs w:val="0"/>
          <w:sz w:val="28"/>
          <w:szCs w:val="28"/>
          <w:lang w:val="ru-RU" w:eastAsia="zh-CN"/>
        </w:rPr>
      </w:pPr>
      <w:r>
        <w:rPr>
          <w:rFonts w:hint="default" w:ascii="Times New Roman Bold" w:hAnsi="Times New Roman Bold" w:cs="Times New Roman Bold" w:eastAsiaTheme="minorEastAsia"/>
          <w:b/>
          <w:bCs w:val="0"/>
          <w:sz w:val="28"/>
          <w:szCs w:val="28"/>
          <w:lang w:val="ru-RU" w:eastAsia="zh-CN"/>
        </w:rPr>
        <w:t>Влияние институтов Конфуция на экспорт культурных ценностей: эмпирическое исследование двустороннего политического доверия между Китаем и принимающими странами</w:t>
      </w:r>
    </w:p>
    <w:p>
      <w:pPr>
        <w:keepNext w:val="0"/>
        <w:keepLines w:val="0"/>
        <w:pageBreakBefore w:val="0"/>
        <w:widowControl w:val="0"/>
        <w:tabs>
          <w:tab w:val="left" w:pos="1021"/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contextualSpacing/>
        <w:jc w:val="both"/>
        <w:textAlignment w:val="auto"/>
        <w:rPr>
          <w:rStyle w:val="12"/>
          <w:rFonts w:hint="default" w:ascii="Times New Roman Regular" w:hAnsi="Times New Roman Regular" w:cs="Times New Roman Regular"/>
          <w:i/>
          <w:color w:val="auto"/>
          <w:sz w:val="28"/>
          <w:szCs w:val="28"/>
          <w:u w:val="none"/>
          <w:lang w:val="ru-RU"/>
        </w:rPr>
      </w:pPr>
      <w:r>
        <w:rPr>
          <w:rStyle w:val="12"/>
          <w:rFonts w:hint="default" w:ascii="Times New Roman Regular" w:hAnsi="Times New Roman Regular" w:cs="Times New Roman Regular"/>
          <w:i/>
          <w:color w:val="auto"/>
          <w:sz w:val="28"/>
          <w:szCs w:val="28"/>
          <w:u w:val="none"/>
          <w:lang w:val="ru-RU"/>
        </w:rPr>
        <w:t>Ли Сяоминь</w:t>
      </w:r>
    </w:p>
    <w:p>
      <w:pPr>
        <w:keepNext w:val="0"/>
        <w:keepLines w:val="0"/>
        <w:pageBreakBefore w:val="0"/>
        <w:widowControl w:val="0"/>
        <w:tabs>
          <w:tab w:val="left" w:pos="1021"/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contextualSpacing/>
        <w:jc w:val="both"/>
        <w:textAlignment w:val="auto"/>
        <w:rPr>
          <w:rFonts w:hint="default" w:ascii="Times New Roman Regular" w:hAnsi="Times New Roman Regular" w:cs="Times New Roman Regular"/>
          <w:i/>
          <w:sz w:val="28"/>
          <w:szCs w:val="28"/>
          <w:lang w:val="ru-RU"/>
        </w:rPr>
      </w:pPr>
      <w:r>
        <w:rPr>
          <w:rFonts w:hint="default" w:ascii="Times New Roman Regular" w:hAnsi="Times New Roman Regular" w:cs="Times New Roman Regular"/>
          <w:i/>
          <w:sz w:val="28"/>
          <w:szCs w:val="28"/>
          <w:lang w:val="ru-RU"/>
        </w:rPr>
        <w:t>Аспирант</w:t>
      </w:r>
    </w:p>
    <w:p>
      <w:pPr>
        <w:keepNext w:val="0"/>
        <w:keepLines w:val="0"/>
        <w:pageBreakBefore w:val="0"/>
        <w:widowControl w:val="0"/>
        <w:tabs>
          <w:tab w:val="left" w:pos="1021"/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contextualSpacing/>
        <w:jc w:val="both"/>
        <w:textAlignment w:val="auto"/>
        <w:rPr>
          <w:rFonts w:hint="default" w:ascii="Times New Roman Regular" w:hAnsi="Times New Roman Regular" w:cs="Times New Roman Regular"/>
          <w:i/>
          <w:sz w:val="28"/>
          <w:szCs w:val="28"/>
          <w:lang w:val="ru-RU"/>
        </w:rPr>
      </w:pPr>
      <w:r>
        <w:rPr>
          <w:rFonts w:hint="default" w:ascii="Times New Roman Regular" w:hAnsi="Times New Roman Regular" w:cs="Times New Roman Regular"/>
          <w:i/>
          <w:sz w:val="28"/>
          <w:szCs w:val="28"/>
          <w:lang w:val="ru-RU"/>
        </w:rPr>
        <w:t>Российский университет дружбы народов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textAlignment w:val="auto"/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/>
        </w:rPr>
      </w:pPr>
      <w:r>
        <w:rPr>
          <w:rFonts w:hint="default" w:ascii="Times New Roman Regular" w:hAnsi="Times New Roman Regular" w:cs="Times New Roman Regular"/>
          <w:i/>
          <w:sz w:val="28"/>
          <w:szCs w:val="28"/>
        </w:rPr>
        <w:t>SPIN-код (при наличии)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639" w:firstLineChars="228"/>
        <w:jc w:val="both"/>
        <w:textAlignment w:val="auto"/>
        <w:rPr>
          <w:rFonts w:hint="default" w:ascii="Times New Roman Regular" w:hAnsi="Times New Roman Regular" w:cs="Times New Roman Regular"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/>
        </w:rPr>
        <w:t>Аннотация:</w:t>
      </w:r>
      <w:r>
        <w:rPr>
          <w:rFonts w:hint="default" w:ascii="Times New Roman Regular" w:hAnsi="Times New Roman Regular" w:cs="Times New Roman Regular"/>
          <w:b/>
          <w:sz w:val="28"/>
          <w:szCs w:val="28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ru-RU" w:eastAsia="zh-CN"/>
        </w:rPr>
        <w:t>Институты Конфуция как ключевые учреждения по распространению китайской культуры за рубежом привлекают большое внимание своим политическим эффектом. Используя многоэтапный метод разности разностей (Multi-period DID) и рассматривая создание Институтов Конфуция по всему миру в 2004–202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ru-RU" w:eastAsia="zh-CN"/>
        </w:rPr>
        <w:t xml:space="preserve"> гг. как квази-эксперимент, данное исследование на основе интеграции данных опросов общественного мнения и баз данных двусторонних отношений системно оценивает причинно-следственный эффект Институтов Конфуция на политическое доверие к Китаю в принимающих странах. Результаты показывают: Институты Конфуция значительно повышают двустороннее политическое доверие; эффект сильнее в странах с культурной близостью, авторитарным режимом и низкой свободой СМИ; медиационный эффект культурной симпатии составляет 47.5%, что подтверждает теоретическую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ru-RU" w:eastAsia="zh-CN"/>
        </w:rPr>
        <w:t xml:space="preserve">рамку «культурный контакт 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36"/>
          <w:lang w:val="ru-RU" w:eastAsia="zh-CN"/>
        </w:rPr>
        <w:t>–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ru-RU" w:eastAsia="zh-CN"/>
        </w:rPr>
        <w:t xml:space="preserve"> трансформация представлений 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36"/>
          <w:lang w:val="ru-RU" w:eastAsia="zh-CN"/>
        </w:rPr>
        <w:t>–</w:t>
      </w: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  <w:lang w:val="ru-RU" w:eastAsia="zh-CN"/>
        </w:rPr>
        <w:t xml:space="preserve"> политическое доверие». Данное исследование предоставляет причинно-следственные доказательства трансформации культурной мягкой силы в политическое доверие и дает политические рекомендации по оптимизации стратегии культурной дипломатии.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36"/>
          <w:lang w:val="ru-RU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36"/>
          <w:lang w:val="en-US" w:eastAsia="zh-CN"/>
        </w:rPr>
        <w:t>Ключевые слова: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36"/>
          <w:lang w:val="en-US" w:eastAsia="zh-CN"/>
        </w:rPr>
        <w:t xml:space="preserve"> Институты Конфуция; политическое доверие; метод разности разностей (DID); культурные ценности; публичная дипломатия.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744" w:firstLineChars="266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Исследовательский вопрос данного исследования вытекает из двух контекстов. Во-первых, Институты Конфуция с 2004 года быстро расширились до 160 стран, став флагманским проектом публичной дипломатии Китая. Во-вторых, на фоне конкуренции великих держав культурная мягкая сила становится все более важной. Ключевой вопрос: может ли культурный экспорт трансформироваться в политическое доверие?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Теоретическая модель «культурный контакт – изменение восприятия – политическое доверие»: Институты Конфуция через языковое обучение и культурные мероприятия повышают понимание китайской культуры (контакт), формируют культурную симпатию (изменение восприятия), которая перерастает в доверие к политической системе, лидерам и внешней политике Китая (политическое доверие). Теоретическая основа: конструктивизм (общие идеи) и теория мягкой силы Джозефа Ная.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744" w:firstLineChars="266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Методология: многопериодный DID. Разновременное создание Институтов Конфуция в разных странах используется как квази-естественный эксперимент. Сравниваются изменения политического доверия до и после создания между странами с Институтами (экспериментальная группа) и без них (контрольная группа). Метод контролирует неизменные во времени национальные характеристики и глобальные временные шоки.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Эмпирические результаты: Выборка включает 2340 наблюдений. Тест параллельных трендов подтвержден – до создания Институтов различий в динамике политического доверия между группами не было.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744" w:firstLineChars="266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Базовые результаты: Коэффициент создания Институтов Конфуция = 0.074 (p&lt;0.01). Это означает повышение политического доверия на 7.4 процентных пункта. Торговля и инвестиции повышают доверие, культурная дистанция – снижает.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Эффект сильнее в авторитарных странах (0.089 против 0.032 в демократиях), в конфуцианской культуре (0.112 против 0.041), в странах с низкой свободой СМИ (0.083 значим против 0.029 незначимого).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Институты Конфуция повышают культурную симпатию (0.112), которая повышает политическое доверие (0.314). Медиация составляет 47.5% – почти половина эффекта объясняется культурной симпатией, подтверждая теоретическую модель.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Плацебо-тест незначим, PSM-DID (0.068), инструментальные переменные (0.081), замена зависимых переменных – все подтверждают устойчивость результатов.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744" w:firstLineChars="266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Основные выводы: (1) Институты Конфуция значимо повышают двустороннее политическое доверие (7.4 п.п.). (2) Эффект гетерогенен: сильнее в конфуцианских, авторитарных странах с низкой свободой СМИ. (3) Культурная симпатия – ключевой механизм (медиация 47.5%).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744" w:firstLineChars="266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Политические рекомендации: Стратегически – приоритет культурному взаимодействию, избегать политизации. Дипломатически – координация с посольствами, роль «второго пути» в кризисах. Элитарно – подготовка «знающих Китай» кадров через стипендии и стажировки. Регионально – в конфуцианских странах неявная политическая коммуникация, в неконфуцианских – десенсибилизация. Институционально – авторитарные страны: углубление сотрудничества, демократии: прозрачность. Медийно – высокая свобода СМИ: активный нарратив, низкая: избегать инструментализации. Создать систему оценки эффективности на основе показателей политического доверия.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32" w:rightChars="-444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 w:eastAsia="zh-CN"/>
        </w:rPr>
        <w:t>Список литературы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638" w:firstLineChars="266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  <w:t xml:space="preserve"> Ли, С. Влияние китайско-российских культурных обменов на укрепление экономико-политических связей / С. Ли, К. Лю // Теории и проблемы политических исследований. – 2024. – Т. 13, № 6-1. – С. 50–59.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-932" w:rightChars="-444" w:firstLine="638" w:firstLineChars="266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</w:pP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val="ru-RU" w:eastAsia="zh-CN"/>
        </w:rPr>
        <w:t xml:space="preserve"> Зиманова, М. А. Таможенный контроль за соблюдением запретов и ограничений, связанных с перемещением культурных ценностей через таможенную границу Евразийского Экономического Союза / М. А. Зиманова // Бюллетень инновационных технологий. – 2023. – Т. 7, № 4 (28). – С. 30–37.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B2689"/>
    <w:rsid w:val="167E88A5"/>
    <w:rsid w:val="237CCEE9"/>
    <w:rsid w:val="3EE5F210"/>
    <w:rsid w:val="3FBF98C2"/>
    <w:rsid w:val="53AF94C6"/>
    <w:rsid w:val="5F1F1B9D"/>
    <w:rsid w:val="5FECBF35"/>
    <w:rsid w:val="63D7C3D3"/>
    <w:rsid w:val="6B7B036D"/>
    <w:rsid w:val="7DBB2689"/>
    <w:rsid w:val="DD5DB0AE"/>
    <w:rsid w:val="DFDA3E8A"/>
    <w:rsid w:val="EFBF403F"/>
    <w:rsid w:val="F5DF4767"/>
    <w:rsid w:val="FE5B0B25"/>
    <w:rsid w:val="FEE7520B"/>
    <w:rsid w:val="FFF290DD"/>
    <w:rsid w:val="FFF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9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2025-11-17T12:11:00Z</dcterms:created>
  <dc:creator>睡不着</dc:creator>
  <cp:lastModifiedBy>睡不着</cp:lastModifiedBy>
  <dcterms:modified xsi:type="dcterms:W3CDTF">2026-02-27T23:09:24Z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707A96C790E20D3D02281369D1715166_41</vt:lpwstr>
  </property>
</Properties>
</file>