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0D5C7" w14:textId="4472123C" w:rsidR="00757C25" w:rsidRDefault="00626A7C" w:rsidP="00581B2A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757C25">
        <w:rPr>
          <w:rFonts w:eastAsia="Times New Roman" w:cs="Times New Roman"/>
          <w:b/>
          <w:bCs/>
          <w:szCs w:val="24"/>
          <w:lang w:eastAsia="ru-RU"/>
        </w:rPr>
        <w:t>Стратегическое маневрирование «средних держав» АТР в условиях геополитической неопределенности</w:t>
      </w:r>
    </w:p>
    <w:p w14:paraId="12E9BB1D" w14:textId="77777777" w:rsidR="00581B2A" w:rsidRDefault="00581B2A" w:rsidP="00581B2A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14:paraId="72BCF455" w14:textId="2A7FC767" w:rsidR="00757C25" w:rsidRDefault="00757C25" w:rsidP="00581B2A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Гюльмамедов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Элмар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Ниязович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br/>
        <w:t>аспирант</w:t>
      </w:r>
    </w:p>
    <w:p w14:paraId="536345CE" w14:textId="248885BD" w:rsidR="00757C25" w:rsidRPr="00757C25" w:rsidRDefault="00757C25" w:rsidP="00581B2A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757C25">
        <w:rPr>
          <w:rFonts w:eastAsia="Times New Roman" w:cs="Times New Roman"/>
          <w:i/>
          <w:iCs/>
          <w:szCs w:val="24"/>
          <w:lang w:eastAsia="ru-RU"/>
        </w:rPr>
        <w:t>Российский университет дружбы народов имени Патриса Лумумбы</w:t>
      </w:r>
    </w:p>
    <w:p w14:paraId="475247F4" w14:textId="44447350" w:rsidR="00757C25" w:rsidRPr="00757C25" w:rsidRDefault="00757C25" w:rsidP="00581B2A">
      <w:pPr>
        <w:spacing w:after="0" w:line="240" w:lineRule="auto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757C25">
        <w:rPr>
          <w:rFonts w:eastAsia="Times New Roman" w:cs="Times New Roman"/>
          <w:i/>
          <w:iCs/>
          <w:szCs w:val="24"/>
          <w:lang w:eastAsia="ru-RU"/>
        </w:rPr>
        <w:t>Факультет гуманитарных и социальных наук, Москва, Россия</w:t>
      </w:r>
    </w:p>
    <w:p w14:paraId="14A3E150" w14:textId="1963B844" w:rsidR="00757C25" w:rsidRPr="00757C25" w:rsidRDefault="00757C25" w:rsidP="00581B2A">
      <w:pPr>
        <w:spacing w:after="0" w:line="240" w:lineRule="auto"/>
        <w:jc w:val="center"/>
        <w:rPr>
          <w:i/>
          <w:iCs/>
          <w:lang w:val="fr-FR"/>
        </w:rPr>
      </w:pPr>
      <w:r w:rsidRPr="00757C25">
        <w:rPr>
          <w:i/>
          <w:iCs/>
          <w:lang w:val="fr-FR"/>
        </w:rPr>
        <w:t xml:space="preserve">E–mail: </w:t>
      </w:r>
      <w:r w:rsidRPr="00757C25">
        <w:rPr>
          <w:i/>
          <w:iCs/>
          <w:lang w:val="fr-FR"/>
        </w:rPr>
        <w:t>egstud2@gmail.co</w:t>
      </w:r>
      <w:r>
        <w:rPr>
          <w:i/>
          <w:iCs/>
          <w:lang w:val="fr-FR"/>
        </w:rPr>
        <w:t>m</w:t>
      </w:r>
    </w:p>
    <w:p w14:paraId="0AFB1B1C" w14:textId="07A19602" w:rsidR="00626A7C" w:rsidRPr="00626A7C" w:rsidRDefault="00626A7C" w:rsidP="00757C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26A7C">
        <w:rPr>
          <w:rFonts w:eastAsia="Times New Roman" w:cs="Times New Roman"/>
          <w:szCs w:val="24"/>
          <w:lang w:eastAsia="ru-RU"/>
        </w:rPr>
        <w:t xml:space="preserve">Современная конфигурация международных отношений </w:t>
      </w:r>
      <w:r w:rsidR="00292EA8">
        <w:rPr>
          <w:rFonts w:eastAsia="Times New Roman" w:cs="Times New Roman"/>
          <w:szCs w:val="24"/>
          <w:lang w:eastAsia="ru-RU"/>
        </w:rPr>
        <w:t>АТР</w:t>
      </w:r>
      <w:r w:rsidRPr="00626A7C">
        <w:rPr>
          <w:rFonts w:eastAsia="Times New Roman" w:cs="Times New Roman"/>
          <w:szCs w:val="24"/>
          <w:lang w:eastAsia="ru-RU"/>
        </w:rPr>
        <w:t xml:space="preserve"> характеризуется фундаментальным сдвигом, который ставит под сомнение устойчивость архитектуры безопасности, сложившейся после окончания Холодной </w:t>
      </w:r>
      <w:r w:rsidR="003E5184" w:rsidRPr="00626A7C">
        <w:rPr>
          <w:rFonts w:eastAsia="Times New Roman" w:cs="Times New Roman"/>
          <w:szCs w:val="24"/>
          <w:lang w:eastAsia="ru-RU"/>
        </w:rPr>
        <w:t>войны.</w:t>
      </w:r>
      <w:r w:rsidRPr="00626A7C">
        <w:rPr>
          <w:rFonts w:eastAsia="Times New Roman" w:cs="Times New Roman"/>
          <w:szCs w:val="24"/>
          <w:lang w:eastAsia="ru-RU"/>
        </w:rPr>
        <w:t xml:space="preserve"> Ключевой проблематикой текущего десятилетия становится не просто конкуренция великих держав, а системная эрозия механизмов, позволявших малым и средним государствам эффективно балансировать между экономическими выгодами и императивами </w:t>
      </w:r>
      <w:r w:rsidR="003E5184" w:rsidRPr="00626A7C">
        <w:rPr>
          <w:rFonts w:eastAsia="Times New Roman" w:cs="Times New Roman"/>
          <w:szCs w:val="24"/>
          <w:lang w:eastAsia="ru-RU"/>
        </w:rPr>
        <w:t>безопасности.</w:t>
      </w:r>
    </w:p>
    <w:p w14:paraId="5E4BA4D6" w14:textId="495698C5" w:rsidR="00626A7C" w:rsidRPr="00626A7C" w:rsidRDefault="00626A7C" w:rsidP="00757C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26A7C">
        <w:rPr>
          <w:rFonts w:eastAsia="Times New Roman" w:cs="Times New Roman"/>
          <w:szCs w:val="24"/>
          <w:lang w:eastAsia="ru-RU"/>
        </w:rPr>
        <w:t xml:space="preserve">В основе стратегической дилеммы средних держав АТР лежит феномен «двойной иерархии»: исторически сложившаяся ситуация, при которой гарантом безопасности для большинства государств региона выступали США, а ключевым экономическим партнером становился </w:t>
      </w:r>
      <w:r w:rsidR="003E5184" w:rsidRPr="00626A7C">
        <w:rPr>
          <w:rFonts w:eastAsia="Times New Roman" w:cs="Times New Roman"/>
          <w:szCs w:val="24"/>
          <w:lang w:eastAsia="ru-RU"/>
        </w:rPr>
        <w:t>Китай.</w:t>
      </w:r>
      <w:r w:rsidRPr="00626A7C">
        <w:rPr>
          <w:rFonts w:eastAsia="Times New Roman" w:cs="Times New Roman"/>
          <w:szCs w:val="24"/>
          <w:lang w:eastAsia="ru-RU"/>
        </w:rPr>
        <w:t xml:space="preserve"> Однако текущий этап характеризуется тотальной секьюритизацией экономических связей: вопросы цепочек поставок, технологических стандартов и инфраструктурных инвестиций рассматриваются через призму национальной </w:t>
      </w:r>
      <w:r w:rsidR="003E5184" w:rsidRPr="00626A7C">
        <w:rPr>
          <w:rFonts w:eastAsia="Times New Roman" w:cs="Times New Roman"/>
          <w:szCs w:val="24"/>
          <w:lang w:eastAsia="ru-RU"/>
        </w:rPr>
        <w:t>безопасности.</w:t>
      </w:r>
      <w:r w:rsidRPr="00626A7C">
        <w:rPr>
          <w:rFonts w:eastAsia="Times New Roman" w:cs="Times New Roman"/>
          <w:szCs w:val="24"/>
          <w:lang w:eastAsia="ru-RU"/>
        </w:rPr>
        <w:t xml:space="preserve"> Это создает для средних держав ситуацию «структурного принуждения», когда сохранение нейтралитета становится не просто дипломатически сложным, но и экономически </w:t>
      </w:r>
      <w:r w:rsidR="003E5184" w:rsidRPr="00626A7C">
        <w:rPr>
          <w:rFonts w:eastAsia="Times New Roman" w:cs="Times New Roman"/>
          <w:szCs w:val="24"/>
          <w:lang w:eastAsia="ru-RU"/>
        </w:rPr>
        <w:t>затратным.</w:t>
      </w:r>
    </w:p>
    <w:p w14:paraId="16FF9144" w14:textId="7FFEEFE6" w:rsidR="00626A7C" w:rsidRPr="00626A7C" w:rsidRDefault="00626A7C" w:rsidP="00757C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26A7C">
        <w:rPr>
          <w:rFonts w:eastAsia="Times New Roman" w:cs="Times New Roman"/>
          <w:szCs w:val="24"/>
          <w:lang w:eastAsia="ru-RU"/>
        </w:rPr>
        <w:t xml:space="preserve">Анализ стратегий Австралии, Индонезии, Вьетнама и Республики Кореи выявляет существенную трансформацию самого понятия «средняя держава»: на первый план выходит функциональная способность государства генерировать инициативы и формировать </w:t>
      </w:r>
      <w:r w:rsidR="003E5184" w:rsidRPr="00626A7C">
        <w:rPr>
          <w:rFonts w:eastAsia="Times New Roman" w:cs="Times New Roman"/>
          <w:szCs w:val="24"/>
          <w:lang w:eastAsia="ru-RU"/>
        </w:rPr>
        <w:t>коалиции.</w:t>
      </w:r>
      <w:r w:rsidRPr="00626A7C">
        <w:rPr>
          <w:rFonts w:eastAsia="Times New Roman" w:cs="Times New Roman"/>
          <w:szCs w:val="24"/>
          <w:lang w:eastAsia="ru-RU"/>
        </w:rPr>
        <w:t xml:space="preserve"> Кризис АСЕАН, проявляющийся в невозможности выработки консолидированной позиции по острым вопросам безопасности, вынуждает средние державы искать альтернативные форматы взаимодействия, что приводит к расцвету «</w:t>
      </w:r>
      <w:proofErr w:type="spellStart"/>
      <w:r w:rsidRPr="00626A7C">
        <w:rPr>
          <w:rFonts w:eastAsia="Times New Roman" w:cs="Times New Roman"/>
          <w:szCs w:val="24"/>
          <w:lang w:eastAsia="ru-RU"/>
        </w:rPr>
        <w:t>минилатерализма</w:t>
      </w:r>
      <w:proofErr w:type="spellEnd"/>
      <w:r w:rsidRPr="00626A7C">
        <w:rPr>
          <w:rFonts w:eastAsia="Times New Roman" w:cs="Times New Roman"/>
          <w:szCs w:val="24"/>
          <w:lang w:eastAsia="ru-RU"/>
        </w:rPr>
        <w:t xml:space="preserve">» — создания малых, гибких, проблемно-ориентированных </w:t>
      </w:r>
      <w:r w:rsidR="003E5184" w:rsidRPr="00626A7C">
        <w:rPr>
          <w:rFonts w:eastAsia="Times New Roman" w:cs="Times New Roman"/>
          <w:szCs w:val="24"/>
          <w:lang w:eastAsia="ru-RU"/>
        </w:rPr>
        <w:t>альянсов.</w:t>
      </w:r>
    </w:p>
    <w:p w14:paraId="6574AA47" w14:textId="5CBF806B" w:rsidR="00626A7C" w:rsidRPr="00626A7C" w:rsidRDefault="00626A7C" w:rsidP="00757C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26A7C">
        <w:rPr>
          <w:rFonts w:eastAsia="Times New Roman" w:cs="Times New Roman"/>
          <w:szCs w:val="24"/>
          <w:lang w:eastAsia="ru-RU"/>
        </w:rPr>
        <w:t xml:space="preserve">Австралия демонстрирует радикальный отход от политики хеджирования в сторону жесткого балансирования через партнерство AUKUS, превращаясь в ключевого союзника США в </w:t>
      </w:r>
      <w:r w:rsidR="003E5184" w:rsidRPr="00626A7C">
        <w:rPr>
          <w:rFonts w:eastAsia="Times New Roman" w:cs="Times New Roman"/>
          <w:szCs w:val="24"/>
          <w:lang w:eastAsia="ru-RU"/>
        </w:rPr>
        <w:t>регионе.</w:t>
      </w:r>
      <w:r w:rsidRPr="00626A7C">
        <w:rPr>
          <w:rFonts w:eastAsia="Times New Roman" w:cs="Times New Roman"/>
          <w:szCs w:val="24"/>
          <w:lang w:eastAsia="ru-RU"/>
        </w:rPr>
        <w:t xml:space="preserve"> Эта стратегия предполагает получение технологий атомных подводных лодок и углубленную интеграцию в военно-технологическую кооперацию с англосаксонскими </w:t>
      </w:r>
      <w:r w:rsidR="003E5184" w:rsidRPr="00626A7C">
        <w:rPr>
          <w:rFonts w:eastAsia="Times New Roman" w:cs="Times New Roman"/>
          <w:szCs w:val="24"/>
          <w:lang w:eastAsia="ru-RU"/>
        </w:rPr>
        <w:t>партнерами.</w:t>
      </w:r>
      <w:r w:rsidRPr="00626A7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626A7C">
        <w:rPr>
          <w:rFonts w:eastAsia="Times New Roman" w:cs="Times New Roman"/>
          <w:szCs w:val="24"/>
          <w:lang w:eastAsia="ru-RU"/>
        </w:rPr>
        <w:t>Минилатеральные</w:t>
      </w:r>
      <w:proofErr w:type="spellEnd"/>
      <w:r w:rsidRPr="00626A7C">
        <w:rPr>
          <w:rFonts w:eastAsia="Times New Roman" w:cs="Times New Roman"/>
          <w:szCs w:val="24"/>
          <w:lang w:eastAsia="ru-RU"/>
        </w:rPr>
        <w:t xml:space="preserve"> форматы, такие как Quad и трехсторонние диалоги, обеспечивают координацию действий единомышленников по широкому спектру вопросов безопасности, сочетая гибкость с возможностью выработки конкретных </w:t>
      </w:r>
      <w:r w:rsidR="003E5184" w:rsidRPr="00626A7C">
        <w:rPr>
          <w:rFonts w:eastAsia="Times New Roman" w:cs="Times New Roman"/>
          <w:szCs w:val="24"/>
          <w:lang w:eastAsia="ru-RU"/>
        </w:rPr>
        <w:t>решений.</w:t>
      </w:r>
    </w:p>
    <w:p w14:paraId="47B5580F" w14:textId="2D2FB7E4" w:rsidR="00626A7C" w:rsidRPr="00626A7C" w:rsidRDefault="00626A7C" w:rsidP="00757C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26A7C">
        <w:rPr>
          <w:rFonts w:eastAsia="Times New Roman" w:cs="Times New Roman"/>
          <w:szCs w:val="24"/>
          <w:lang w:eastAsia="ru-RU"/>
        </w:rPr>
        <w:t xml:space="preserve">Контроль над критическими технологиями становится новым валютным эквивалентом силы, превращая технологически развитые средние державы в ключевых игроков региональной </w:t>
      </w:r>
      <w:r w:rsidR="003E5184" w:rsidRPr="00626A7C">
        <w:rPr>
          <w:rFonts w:eastAsia="Times New Roman" w:cs="Times New Roman"/>
          <w:szCs w:val="24"/>
          <w:lang w:eastAsia="ru-RU"/>
        </w:rPr>
        <w:t>безопасности.</w:t>
      </w:r>
      <w:r w:rsidRPr="00626A7C">
        <w:rPr>
          <w:rFonts w:eastAsia="Times New Roman" w:cs="Times New Roman"/>
          <w:szCs w:val="24"/>
          <w:lang w:eastAsia="ru-RU"/>
        </w:rPr>
        <w:t xml:space="preserve"> Одновременно это делает их заложниками глобальной «войны санкций» и технологического противостояния великих </w:t>
      </w:r>
      <w:r w:rsidR="003E5184" w:rsidRPr="00626A7C">
        <w:rPr>
          <w:rFonts w:eastAsia="Times New Roman" w:cs="Times New Roman"/>
          <w:szCs w:val="24"/>
          <w:lang w:eastAsia="ru-RU"/>
        </w:rPr>
        <w:t>держав.</w:t>
      </w:r>
    </w:p>
    <w:p w14:paraId="1300115E" w14:textId="5FECAA9F" w:rsidR="00626A7C" w:rsidRPr="00626A7C" w:rsidRDefault="00626A7C" w:rsidP="00757C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26A7C">
        <w:rPr>
          <w:rFonts w:eastAsia="Times New Roman" w:cs="Times New Roman"/>
          <w:szCs w:val="24"/>
          <w:lang w:eastAsia="ru-RU"/>
        </w:rPr>
        <w:t xml:space="preserve">Критический анализ выявляет ключевую слабость текущего маневрирования — отсутствие солидарности между средними </w:t>
      </w:r>
      <w:r w:rsidR="003E5184" w:rsidRPr="00626A7C">
        <w:rPr>
          <w:rFonts w:eastAsia="Times New Roman" w:cs="Times New Roman"/>
          <w:szCs w:val="24"/>
          <w:lang w:eastAsia="ru-RU"/>
        </w:rPr>
        <w:t>державами.</w:t>
      </w:r>
      <w:r w:rsidRPr="00626A7C">
        <w:rPr>
          <w:rFonts w:eastAsia="Times New Roman" w:cs="Times New Roman"/>
          <w:szCs w:val="24"/>
          <w:lang w:eastAsia="ru-RU"/>
        </w:rPr>
        <w:t xml:space="preserve"> Национальные интересы и историческое недоверие превалируют над пониманием общей стратегической угрозы, что делает создание мощного блока средних держав как третьей силы </w:t>
      </w:r>
      <w:r w:rsidR="003E5184" w:rsidRPr="00626A7C">
        <w:rPr>
          <w:rFonts w:eastAsia="Times New Roman" w:cs="Times New Roman"/>
          <w:szCs w:val="24"/>
          <w:lang w:eastAsia="ru-RU"/>
        </w:rPr>
        <w:t>маловероятным.</w:t>
      </w:r>
      <w:r w:rsidRPr="00626A7C">
        <w:rPr>
          <w:rFonts w:eastAsia="Times New Roman" w:cs="Times New Roman"/>
          <w:szCs w:val="24"/>
          <w:lang w:eastAsia="ru-RU"/>
        </w:rPr>
        <w:t xml:space="preserve"> </w:t>
      </w:r>
      <w:r w:rsidRPr="00626A7C">
        <w:rPr>
          <w:rFonts w:eastAsia="Times New Roman" w:cs="Times New Roman"/>
          <w:szCs w:val="24"/>
          <w:lang w:eastAsia="ru-RU"/>
        </w:rPr>
        <w:lastRenderedPageBreak/>
        <w:t>Геополитическая неопределенность усиливается наращиванием военных бюджетов и милитаризацией региона, создавая классическую «дилемму безопасности</w:t>
      </w:r>
      <w:r w:rsidR="003E5184" w:rsidRPr="00626A7C">
        <w:rPr>
          <w:rFonts w:eastAsia="Times New Roman" w:cs="Times New Roman"/>
          <w:szCs w:val="24"/>
          <w:lang w:eastAsia="ru-RU"/>
        </w:rPr>
        <w:t>».</w:t>
      </w:r>
    </w:p>
    <w:p w14:paraId="2DEF3817" w14:textId="7CEEA923" w:rsidR="00626A7C" w:rsidRDefault="00626A7C" w:rsidP="00757C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26A7C">
        <w:rPr>
          <w:rFonts w:eastAsia="Times New Roman" w:cs="Times New Roman"/>
          <w:szCs w:val="24"/>
          <w:lang w:eastAsia="ru-RU"/>
        </w:rPr>
        <w:t xml:space="preserve">На основе проведенного анализа можно сделать вывод, что трансформация архитектуры безопасности АТР представляет собой не линейный переход от двусторонних альянсов к многосторонним институтам, а формирование сложной гибридной системы с сосуществованием и взаимодействием различных уровней </w:t>
      </w:r>
      <w:r w:rsidR="003E5184" w:rsidRPr="00626A7C">
        <w:rPr>
          <w:rFonts w:eastAsia="Times New Roman" w:cs="Times New Roman"/>
          <w:szCs w:val="24"/>
          <w:lang w:eastAsia="ru-RU"/>
        </w:rPr>
        <w:t>институционализации.</w:t>
      </w:r>
      <w:r w:rsidRPr="00626A7C">
        <w:rPr>
          <w:rFonts w:eastAsia="Times New Roman" w:cs="Times New Roman"/>
          <w:szCs w:val="24"/>
          <w:lang w:eastAsia="ru-RU"/>
        </w:rPr>
        <w:t xml:space="preserve"> Двусторонние альянсы сохраняют ключевую роль в обеспечении жестких гарантий безопасности и сдерживания прямой военной </w:t>
      </w:r>
      <w:r w:rsidR="003E5184" w:rsidRPr="00626A7C">
        <w:rPr>
          <w:rFonts w:eastAsia="Times New Roman" w:cs="Times New Roman"/>
          <w:szCs w:val="24"/>
          <w:lang w:eastAsia="ru-RU"/>
        </w:rPr>
        <w:t>агрессии.</w:t>
      </w:r>
      <w:r w:rsidRPr="00626A7C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626A7C">
        <w:rPr>
          <w:rFonts w:eastAsia="Times New Roman" w:cs="Times New Roman"/>
          <w:szCs w:val="24"/>
          <w:lang w:eastAsia="ru-RU"/>
        </w:rPr>
        <w:t>Минилатеральные</w:t>
      </w:r>
      <w:proofErr w:type="spellEnd"/>
      <w:r w:rsidRPr="00626A7C">
        <w:rPr>
          <w:rFonts w:eastAsia="Times New Roman" w:cs="Times New Roman"/>
          <w:szCs w:val="24"/>
          <w:lang w:eastAsia="ru-RU"/>
        </w:rPr>
        <w:t xml:space="preserve"> форматы (Quad, AUKUS, трехсторонние диалоги) обеспечивают координацию действий единомышленников по широкому спектру вопросов безопасности, сочетая гибкость с возможностью выработки конкретных </w:t>
      </w:r>
      <w:r w:rsidR="003E5184" w:rsidRPr="00626A7C">
        <w:rPr>
          <w:rFonts w:eastAsia="Times New Roman" w:cs="Times New Roman"/>
          <w:szCs w:val="24"/>
          <w:lang w:eastAsia="ru-RU"/>
        </w:rPr>
        <w:t>решений.</w:t>
      </w:r>
      <w:r w:rsidRPr="00626A7C">
        <w:rPr>
          <w:rFonts w:eastAsia="Times New Roman" w:cs="Times New Roman"/>
          <w:szCs w:val="24"/>
          <w:lang w:eastAsia="ru-RU"/>
        </w:rPr>
        <w:t xml:space="preserve"> Инклюзивные многосторонние платформы (ADMM-Plus, ARF, EAS) служат механизмами диалога, доверительных мер и координации действий в неполитизированных областях.</w:t>
      </w:r>
      <w:r w:rsidR="00292EA8">
        <w:rPr>
          <w:rFonts w:eastAsia="Times New Roman" w:cs="Times New Roman"/>
          <w:szCs w:val="24"/>
          <w:lang w:eastAsia="ru-RU"/>
        </w:rPr>
        <w:t xml:space="preserve"> </w:t>
      </w:r>
      <w:r w:rsidRPr="00626A7C">
        <w:rPr>
          <w:rFonts w:eastAsia="Times New Roman" w:cs="Times New Roman"/>
          <w:szCs w:val="24"/>
          <w:lang w:eastAsia="ru-RU"/>
        </w:rPr>
        <w:t xml:space="preserve">Перспективы дальнейшей эволюции архитектуры безопасности АТР зависят от взаимодействия нескольких сценариев. Наиболее вероятным представляется продолжение текущей траектории институциональной </w:t>
      </w:r>
      <w:proofErr w:type="spellStart"/>
      <w:r w:rsidRPr="00626A7C">
        <w:rPr>
          <w:rFonts w:eastAsia="Times New Roman" w:cs="Times New Roman"/>
          <w:szCs w:val="24"/>
          <w:lang w:eastAsia="ru-RU"/>
        </w:rPr>
        <w:t>гибридности</w:t>
      </w:r>
      <w:proofErr w:type="spellEnd"/>
      <w:r w:rsidRPr="00626A7C">
        <w:rPr>
          <w:rFonts w:eastAsia="Times New Roman" w:cs="Times New Roman"/>
          <w:szCs w:val="24"/>
          <w:lang w:eastAsia="ru-RU"/>
        </w:rPr>
        <w:t xml:space="preserve"> с постепенным усложнением конфигурации форматов. Функциональная комплементарность между различными институциональными уровнями обеспечивает определенную адаптивность системы к разнообразным вызовам, но создает проблемы координации, фрагментации и стратегической неопределенности.</w:t>
      </w:r>
    </w:p>
    <w:p w14:paraId="065789B1" w14:textId="77777777" w:rsidR="0042116C" w:rsidRPr="00626A7C" w:rsidRDefault="0042116C" w:rsidP="00757C2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76BB5AE6" w14:textId="724FDD6E" w:rsidR="00626A7C" w:rsidRPr="00757C25" w:rsidRDefault="0042116C" w:rsidP="0085643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Список литературы</w:t>
      </w:r>
    </w:p>
    <w:p w14:paraId="0C9B21BE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</w:rPr>
      </w:pPr>
      <w:r w:rsidRPr="0004147F"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 w:rsidRPr="0004147F">
        <w:rPr>
          <w:rFonts w:cs="Times New Roman"/>
          <w:szCs w:val="24"/>
        </w:rPr>
        <w:t>Богатуров</w:t>
      </w:r>
      <w:proofErr w:type="spellEnd"/>
      <w:r w:rsidRPr="0004147F">
        <w:rPr>
          <w:rFonts w:cs="Times New Roman"/>
          <w:szCs w:val="24"/>
        </w:rPr>
        <w:t xml:space="preserve">, А. Д. Международные отношения в Центральной и Восточной Азии: история и современность : учебное пособие / А. Д. </w:t>
      </w:r>
      <w:proofErr w:type="spellStart"/>
      <w:r w:rsidRPr="0004147F">
        <w:rPr>
          <w:rFonts w:cs="Times New Roman"/>
          <w:szCs w:val="24"/>
        </w:rPr>
        <w:t>Богатуров</w:t>
      </w:r>
      <w:proofErr w:type="spellEnd"/>
      <w:r w:rsidRPr="0004147F">
        <w:rPr>
          <w:rFonts w:cs="Times New Roman"/>
          <w:szCs w:val="24"/>
        </w:rPr>
        <w:t xml:space="preserve"> ; Российский совет по международным делам. — 2-е изд., </w:t>
      </w:r>
      <w:proofErr w:type="spellStart"/>
      <w:r w:rsidRPr="0004147F">
        <w:rPr>
          <w:rFonts w:cs="Times New Roman"/>
          <w:szCs w:val="24"/>
        </w:rPr>
        <w:t>испр</w:t>
      </w:r>
      <w:proofErr w:type="spellEnd"/>
      <w:r w:rsidRPr="0004147F">
        <w:rPr>
          <w:rFonts w:cs="Times New Roman"/>
          <w:szCs w:val="24"/>
        </w:rPr>
        <w:t>. и доп. — Москва : Аспект Пресс, 2022. — 560 с. — ISBN 978-5-7567-1193-2.</w:t>
      </w:r>
    </w:p>
    <w:p w14:paraId="366A36FD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</w:rPr>
      </w:pPr>
      <w:r w:rsidRPr="0004147F">
        <w:rPr>
          <w:rFonts w:cs="Times New Roman"/>
          <w:szCs w:val="24"/>
        </w:rPr>
        <w:t>Воскресенский, А. Д. Модель регионального комплекса безопасности в Восточной Азии / А. Д. Воскресенский // Сравнительная политика. — 2019. — Т. 10, № 2. — С. 44–62.</w:t>
      </w:r>
    </w:p>
    <w:p w14:paraId="23CC4DE5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</w:rPr>
      </w:pPr>
      <w:r w:rsidRPr="0004147F">
        <w:rPr>
          <w:rFonts w:cs="Times New Roman"/>
          <w:szCs w:val="24"/>
        </w:rPr>
        <w:t>Канаев Е.А., Королев А.С. Большая Евразия, Индо-Тихоокеанский регион и отношения России с АСЕАН // Контуры глобальных трансформаций: политика, экономика, право. 2019. №1.</w:t>
      </w:r>
    </w:p>
    <w:p w14:paraId="6FD516B1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</w:rPr>
      </w:pPr>
      <w:r w:rsidRPr="0004147F">
        <w:rPr>
          <w:rFonts w:cs="Times New Roman"/>
          <w:szCs w:val="24"/>
        </w:rPr>
        <w:t>Колдунова, Е. В. «Диалоговые партнерства» в Азиатско-Тихоокеанском регионе: ресурс или тормоз развития? / Е. В. Колдунова // Мировая экономика и международные отношения. — 2018. — Т. 62, № 2. — С. 68–77.</w:t>
      </w:r>
    </w:p>
    <w:p w14:paraId="5CD46F99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</w:rPr>
      </w:pPr>
      <w:proofErr w:type="spellStart"/>
      <w:r w:rsidRPr="0004147F">
        <w:rPr>
          <w:rFonts w:cs="Times New Roman"/>
          <w:szCs w:val="24"/>
        </w:rPr>
        <w:t>Ломанов</w:t>
      </w:r>
      <w:proofErr w:type="spellEnd"/>
      <w:r w:rsidRPr="0004147F">
        <w:rPr>
          <w:rFonts w:cs="Times New Roman"/>
          <w:szCs w:val="24"/>
        </w:rPr>
        <w:t xml:space="preserve">, А. В. Новая концепции китайской внешней политики / А. В. </w:t>
      </w:r>
      <w:proofErr w:type="spellStart"/>
      <w:r w:rsidRPr="0004147F">
        <w:rPr>
          <w:rFonts w:cs="Times New Roman"/>
          <w:szCs w:val="24"/>
        </w:rPr>
        <w:t>Ломанов</w:t>
      </w:r>
      <w:proofErr w:type="spellEnd"/>
      <w:r w:rsidRPr="0004147F">
        <w:rPr>
          <w:rFonts w:cs="Times New Roman"/>
          <w:szCs w:val="24"/>
        </w:rPr>
        <w:t xml:space="preserve"> // Россия в глобальной политике. — 2023. — Т. 21, № 4. — С. 64–78.</w:t>
      </w:r>
    </w:p>
    <w:p w14:paraId="5CCA1E9E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</w:rPr>
      </w:pPr>
      <w:r w:rsidRPr="0004147F">
        <w:rPr>
          <w:rFonts w:cs="Times New Roman"/>
          <w:szCs w:val="24"/>
        </w:rPr>
        <w:t>Лукин, А. В. Возвышающийся Китай и будущее России / А. В. Лукин. — Москва : Международные отношения, 2018. — 256 с. — ISBN 978-5-7133-1601-9.</w:t>
      </w:r>
    </w:p>
    <w:p w14:paraId="5800318C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  <w:lang w:val="en-US"/>
        </w:rPr>
      </w:pPr>
      <w:r w:rsidRPr="0004147F">
        <w:rPr>
          <w:rFonts w:cs="Times New Roman"/>
          <w:szCs w:val="24"/>
          <w:lang w:val="en-US"/>
        </w:rPr>
        <w:t>Acharya, A. The Making of Southeast Asia: International Relations of a Region / A. Acharya. — Ithaca : Cornell University Press, 2013. — 344 p. — ISBN 978-0-8014-7736-2.</w:t>
      </w:r>
    </w:p>
    <w:p w14:paraId="1A79AB11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  <w:lang w:val="en-US"/>
        </w:rPr>
      </w:pPr>
      <w:r w:rsidRPr="0004147F">
        <w:rPr>
          <w:rFonts w:cs="Times New Roman"/>
          <w:szCs w:val="24"/>
          <w:lang w:val="en-US"/>
        </w:rPr>
        <w:t>Cha, V. D. Powerplay: The Origins of the American Alliance System in Asia / V. D. Cha. — Princeton : Princeton University Press, 2016. — 352 p. — ISBN 978-0-691-14453-5.</w:t>
      </w:r>
    </w:p>
    <w:p w14:paraId="48A47189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  <w:lang w:val="en-US"/>
        </w:rPr>
      </w:pPr>
      <w:r w:rsidRPr="0004147F">
        <w:rPr>
          <w:rFonts w:cs="Times New Roman"/>
          <w:szCs w:val="24"/>
          <w:lang w:val="en-US"/>
        </w:rPr>
        <w:lastRenderedPageBreak/>
        <w:t>Green, M. J. By More Than Providence: Grand Strategy and American Power in the Asia Pacific Since 1783 / M. J. Green. — New York : Columbia University Press, 2017. — 760 p. — ISBN 978-0-231-18042-2.</w:t>
      </w:r>
    </w:p>
    <w:p w14:paraId="67A45DBF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  <w:lang w:val="en-US"/>
        </w:rPr>
      </w:pPr>
      <w:r w:rsidRPr="0004147F">
        <w:rPr>
          <w:rFonts w:cs="Times New Roman"/>
          <w:szCs w:val="24"/>
          <w:lang w:val="en-US"/>
        </w:rPr>
        <w:t>He, K. Institutional Balancing in the Asia Pacific: Economic Interdependence and China's Rise / K. He. — London : Routledge, 2009. — 232 p. — ISBN 978-0-415-46884-8.</w:t>
      </w:r>
    </w:p>
    <w:p w14:paraId="27AD6572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  <w:lang w:val="en-US"/>
        </w:rPr>
      </w:pPr>
      <w:r w:rsidRPr="0004147F">
        <w:rPr>
          <w:rFonts w:cs="Times New Roman"/>
          <w:szCs w:val="24"/>
          <w:lang w:val="en-US"/>
        </w:rPr>
        <w:t>Medcalf, R. Indo-Pacific Empire: China, America and the Contest for the World's Pivotal Region / R. Medcalf. — Manchester : Manchester University Press, 2020. — 352 p. — ISBN 978-1-5261-5079-0.</w:t>
      </w:r>
    </w:p>
    <w:p w14:paraId="42197FF6" w14:textId="77777777" w:rsidR="00626A7C" w:rsidRPr="0004147F" w:rsidRDefault="00626A7C" w:rsidP="00757C25">
      <w:pPr>
        <w:numPr>
          <w:ilvl w:val="0"/>
          <w:numId w:val="7"/>
        </w:numPr>
        <w:spacing w:line="240" w:lineRule="auto"/>
        <w:ind w:firstLine="720"/>
        <w:contextualSpacing/>
        <w:jc w:val="both"/>
        <w:rPr>
          <w:rFonts w:cs="Times New Roman"/>
          <w:szCs w:val="24"/>
          <w:lang w:val="en-US"/>
        </w:rPr>
      </w:pPr>
      <w:r w:rsidRPr="0004147F">
        <w:rPr>
          <w:rFonts w:cs="Times New Roman"/>
          <w:szCs w:val="24"/>
          <w:lang w:val="en-US"/>
        </w:rPr>
        <w:t xml:space="preserve">Tow, W. T. </w:t>
      </w:r>
      <w:proofErr w:type="spellStart"/>
      <w:r w:rsidRPr="0004147F">
        <w:rPr>
          <w:rFonts w:cs="Times New Roman"/>
          <w:szCs w:val="24"/>
          <w:lang w:val="en-US"/>
        </w:rPr>
        <w:t>Minilateral</w:t>
      </w:r>
      <w:proofErr w:type="spellEnd"/>
      <w:r w:rsidRPr="0004147F">
        <w:rPr>
          <w:rFonts w:cs="Times New Roman"/>
          <w:szCs w:val="24"/>
          <w:lang w:val="en-US"/>
        </w:rPr>
        <w:t xml:space="preserve"> Security's Relevance to US Strategy in the Indo-Pacific: Challenges and Prospects / W. T. Tow // The Pacific Review. — 2019. — Vol. 32, No. 2. — P. 232–244.</w:t>
      </w:r>
    </w:p>
    <w:p w14:paraId="092DB865" w14:textId="1B456B6A" w:rsidR="00E25CDB" w:rsidRPr="00626A7C" w:rsidRDefault="00E25CDB" w:rsidP="00757C25">
      <w:pPr>
        <w:spacing w:line="240" w:lineRule="auto"/>
        <w:jc w:val="both"/>
        <w:rPr>
          <w:lang w:val="en-US"/>
        </w:rPr>
      </w:pPr>
    </w:p>
    <w:sectPr w:rsidR="00E25CDB" w:rsidRPr="00626A7C" w:rsidSect="00757C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F6135"/>
    <w:multiLevelType w:val="multilevel"/>
    <w:tmpl w:val="FD36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4238A"/>
    <w:multiLevelType w:val="multilevel"/>
    <w:tmpl w:val="324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F1973"/>
    <w:multiLevelType w:val="multilevel"/>
    <w:tmpl w:val="E7A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63ACF"/>
    <w:multiLevelType w:val="multilevel"/>
    <w:tmpl w:val="CC2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A22EA"/>
    <w:multiLevelType w:val="multilevel"/>
    <w:tmpl w:val="67C6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B5E62"/>
    <w:multiLevelType w:val="hybridMultilevel"/>
    <w:tmpl w:val="4B52D5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733E00"/>
    <w:multiLevelType w:val="multilevel"/>
    <w:tmpl w:val="8060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855EB"/>
    <w:multiLevelType w:val="multilevel"/>
    <w:tmpl w:val="AFAA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035882">
    <w:abstractNumId w:val="2"/>
  </w:num>
  <w:num w:numId="2" w16cid:durableId="485170570">
    <w:abstractNumId w:val="4"/>
  </w:num>
  <w:num w:numId="3" w16cid:durableId="517737061">
    <w:abstractNumId w:val="7"/>
  </w:num>
  <w:num w:numId="4" w16cid:durableId="785389862">
    <w:abstractNumId w:val="0"/>
  </w:num>
  <w:num w:numId="5" w16cid:durableId="968825358">
    <w:abstractNumId w:val="1"/>
  </w:num>
  <w:num w:numId="6" w16cid:durableId="875701631">
    <w:abstractNumId w:val="3"/>
  </w:num>
  <w:num w:numId="7" w16cid:durableId="1614558842">
    <w:abstractNumId w:val="5"/>
  </w:num>
  <w:num w:numId="8" w16cid:durableId="1140415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77"/>
    <w:rsid w:val="0004147F"/>
    <w:rsid w:val="00075177"/>
    <w:rsid w:val="00117CCF"/>
    <w:rsid w:val="00292EA8"/>
    <w:rsid w:val="003E5184"/>
    <w:rsid w:val="0042116C"/>
    <w:rsid w:val="00581B2A"/>
    <w:rsid w:val="00626A7C"/>
    <w:rsid w:val="007224C2"/>
    <w:rsid w:val="00757C25"/>
    <w:rsid w:val="0085643B"/>
    <w:rsid w:val="00900D7D"/>
    <w:rsid w:val="009F58DC"/>
    <w:rsid w:val="00B072F3"/>
    <w:rsid w:val="00B24951"/>
    <w:rsid w:val="00B82788"/>
    <w:rsid w:val="00BC33FA"/>
    <w:rsid w:val="00D3779E"/>
    <w:rsid w:val="00E25CDB"/>
    <w:rsid w:val="00F8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14DA"/>
  <w15:chartTrackingRefBased/>
  <w15:docId w15:val="{4C42CF62-206B-4F58-AF50-70323F1D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751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1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1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1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1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1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 ААА"/>
    <w:basedOn w:val="a4"/>
    <w:link w:val="a5"/>
    <w:qFormat/>
    <w:rsid w:val="009F58DC"/>
    <w:pPr>
      <w:widowControl w:val="0"/>
      <w:jc w:val="center"/>
    </w:pPr>
    <w:rPr>
      <w:rFonts w:cs="Times New Roman"/>
      <w:b/>
      <w:sz w:val="28"/>
      <w:szCs w:val="50"/>
      <w:lang w:eastAsia="zh-CN" w:bidi="hi-IN"/>
    </w:rPr>
  </w:style>
  <w:style w:type="character" w:customStyle="1" w:styleId="a5">
    <w:name w:val="Стандарт ААА Знак"/>
    <w:basedOn w:val="a6"/>
    <w:link w:val="a3"/>
    <w:rsid w:val="009F58DC"/>
    <w:rPr>
      <w:rFonts w:asciiTheme="majorHAnsi" w:eastAsiaTheme="majorEastAsia" w:hAnsiTheme="majorHAnsi" w:cs="Times New Roman"/>
      <w:b/>
      <w:spacing w:val="-10"/>
      <w:kern w:val="28"/>
      <w:sz w:val="28"/>
      <w:szCs w:val="50"/>
      <w:lang w:eastAsia="zh-CN" w:bidi="hi-IN"/>
    </w:rPr>
  </w:style>
  <w:style w:type="paragraph" w:styleId="a4">
    <w:name w:val="Title"/>
    <w:basedOn w:val="a"/>
    <w:next w:val="a"/>
    <w:link w:val="a6"/>
    <w:uiPriority w:val="10"/>
    <w:qFormat/>
    <w:rsid w:val="009F58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9F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AXPRO">
    <w:name w:val="MAX PRO"/>
    <w:basedOn w:val="1"/>
    <w:link w:val="MAXPRO0"/>
    <w:qFormat/>
    <w:rsid w:val="009F58DC"/>
    <w:pPr>
      <w:widowControl w:val="0"/>
      <w:spacing w:line="240" w:lineRule="auto"/>
      <w:jc w:val="center"/>
    </w:pPr>
    <w:rPr>
      <w:rFonts w:cs="Mangal"/>
      <w:color w:val="000000" w:themeColor="text1"/>
      <w:kern w:val="1"/>
      <w:sz w:val="28"/>
      <w:szCs w:val="29"/>
      <w:lang w:eastAsia="zh-CN" w:bidi="hi-IN"/>
    </w:rPr>
  </w:style>
  <w:style w:type="character" w:customStyle="1" w:styleId="MAXPRO0">
    <w:name w:val="MAX PRO Знак"/>
    <w:basedOn w:val="10"/>
    <w:link w:val="MAXPRO"/>
    <w:rsid w:val="009F58DC"/>
    <w:rPr>
      <w:rFonts w:asciiTheme="majorHAnsi" w:eastAsiaTheme="majorEastAsia" w:hAnsiTheme="majorHAnsi" w:cs="Mangal"/>
      <w:color w:val="000000" w:themeColor="text1"/>
      <w:kern w:val="1"/>
      <w:sz w:val="28"/>
      <w:szCs w:val="29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F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75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751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51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1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51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51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51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51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7">
    <w:name w:val="Subtitle"/>
    <w:basedOn w:val="a"/>
    <w:next w:val="a"/>
    <w:link w:val="a8"/>
    <w:uiPriority w:val="11"/>
    <w:qFormat/>
    <w:rsid w:val="000751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0751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5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1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0751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517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17CC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">
    <w:name w:val="Strong"/>
    <w:basedOn w:val="a0"/>
    <w:uiPriority w:val="22"/>
    <w:qFormat/>
    <w:rsid w:val="00117CCF"/>
    <w:rPr>
      <w:b/>
      <w:bCs/>
    </w:rPr>
  </w:style>
  <w:style w:type="character" w:styleId="af0">
    <w:name w:val="Emphasis"/>
    <w:basedOn w:val="a0"/>
    <w:uiPriority w:val="20"/>
    <w:qFormat/>
    <w:rsid w:val="00757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Jobs Stiv</dc:creator>
  <cp:keywords/>
  <dc:description/>
  <cp:lastModifiedBy>Jobs Stiv</cp:lastModifiedBy>
  <cp:revision>13</cp:revision>
  <dcterms:created xsi:type="dcterms:W3CDTF">2026-03-02T18:20:00Z</dcterms:created>
  <dcterms:modified xsi:type="dcterms:W3CDTF">2026-03-02T19:19:00Z</dcterms:modified>
</cp:coreProperties>
</file>