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397A" w14:textId="52CF02F2" w:rsidR="00295714" w:rsidRDefault="00B30ABE" w:rsidP="00B30ABE">
      <w:pPr>
        <w:pStyle w:val="p1"/>
        <w:spacing w:line="360" w:lineRule="auto"/>
        <w:jc w:val="center"/>
        <w:rPr>
          <w:rStyle w:val="s1"/>
          <w:rFonts w:ascii="Times New Roman" w:hAnsi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32"/>
          <w:szCs w:val="32"/>
        </w:rPr>
        <w:t xml:space="preserve">СОВРЕМЕННЫЙ РАСКЛАД </w:t>
      </w:r>
      <w:proofErr w:type="spellStart"/>
      <w:r>
        <w:rPr>
          <w:rFonts w:eastAsia="Times New Roman"/>
          <w:b/>
          <w:bCs/>
          <w:color w:val="000000"/>
          <w:sz w:val="32"/>
          <w:szCs w:val="32"/>
        </w:rPr>
        <w:t>ГЕОПОЛИТИЧЕСКИХ</w:t>
      </w:r>
      <w:proofErr w:type="spellEnd"/>
      <w:r>
        <w:rPr>
          <w:rFonts w:eastAsia="Times New Roman"/>
          <w:b/>
          <w:bCs/>
          <w:color w:val="000000"/>
          <w:sz w:val="32"/>
          <w:szCs w:val="32"/>
        </w:rPr>
        <w:t xml:space="preserve"> СИЛ СЕВЕРО-ВОСТОЧНОЙ АЗИИ</w:t>
      </w:r>
    </w:p>
    <w:p w14:paraId="5B314321" w14:textId="1F0DE141" w:rsidR="00256AF3" w:rsidRPr="008960BC" w:rsidRDefault="00256AF3" w:rsidP="00295714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60BC">
        <w:rPr>
          <w:rStyle w:val="s1"/>
          <w:rFonts w:ascii="Times New Roman" w:hAnsi="Times New Roman"/>
          <w:sz w:val="24"/>
          <w:szCs w:val="24"/>
        </w:rPr>
        <w:t xml:space="preserve">Северо-Восточная Азия (СВА) занимает ключевую позицию в современной международной политике и экономике, представляя собой одну из наиболее сложных и перспективных зон взаимодействия </w:t>
      </w:r>
      <w:proofErr w:type="spellStart"/>
      <w:r w:rsidRPr="008960BC">
        <w:rPr>
          <w:rStyle w:val="s1"/>
          <w:rFonts w:ascii="Times New Roman" w:hAnsi="Times New Roman"/>
          <w:sz w:val="24"/>
          <w:szCs w:val="24"/>
        </w:rPr>
        <w:t>геополитических</w:t>
      </w:r>
      <w:proofErr w:type="spellEnd"/>
      <w:r w:rsidRPr="008960BC">
        <w:rPr>
          <w:rStyle w:val="s1"/>
          <w:rFonts w:ascii="Times New Roman" w:hAnsi="Times New Roman"/>
          <w:sz w:val="24"/>
          <w:szCs w:val="24"/>
        </w:rPr>
        <w:t xml:space="preserve"> интересов мировых держав. Регион характеризуется сочетанием значительных экономических достижений, полученных после Второй мировой войны, с сохраняющимися очагами напряженности и нерешёнными конфликтами, уходящими корнями в исторические противоречия между странами блоков. Динамика отношений в СВА имеет существенное влияние на глобальную трансформацию международного порядка, способствует формированию </w:t>
      </w:r>
      <w:proofErr w:type="spellStart"/>
      <w:r w:rsidRPr="008960BC">
        <w:rPr>
          <w:rStyle w:val="s1"/>
          <w:rFonts w:ascii="Times New Roman" w:hAnsi="Times New Roman"/>
          <w:sz w:val="24"/>
          <w:szCs w:val="24"/>
        </w:rPr>
        <w:t>многополярной</w:t>
      </w:r>
      <w:proofErr w:type="spellEnd"/>
      <w:r w:rsidRPr="008960BC">
        <w:rPr>
          <w:rStyle w:val="s1"/>
          <w:rFonts w:ascii="Times New Roman" w:hAnsi="Times New Roman"/>
          <w:sz w:val="24"/>
          <w:szCs w:val="24"/>
        </w:rPr>
        <w:t xml:space="preserve"> системы мировой политики, а также влияет на устойчивость и безопасность не только региона, но и всего мирового сообщества.</w:t>
      </w:r>
    </w:p>
    <w:p w14:paraId="09B35326" w14:textId="584EBEE5" w:rsidR="00256AF3" w:rsidRPr="008960BC" w:rsidRDefault="00256AF3" w:rsidP="00295714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60BC">
        <w:rPr>
          <w:rStyle w:val="s1"/>
          <w:rFonts w:ascii="Times New Roman" w:hAnsi="Times New Roman"/>
          <w:sz w:val="24"/>
          <w:szCs w:val="24"/>
        </w:rPr>
        <w:t>Несмотря на то, что международная анархия и баланс сил традиционно считаются ключевыми факторами объяснения международных процессов, в исследовании подчёркивается значимость внутренних переменных государств СВА. Особое внимание уделяется стратегическим ориентирам различных стран, их экономическим ресурсам и степени готовности реализовывать внешнеполитические инициативы. В современных условиях государства региона переживают глубокие внутренние трансформации, которые в свою очередь отражаются на формировании внешней политики, региональных систем безопасности и общем характере международных отношений.</w:t>
      </w:r>
    </w:p>
    <w:p w14:paraId="1B0295E4" w14:textId="30BDFB13" w:rsidR="00256AF3" w:rsidRPr="008960BC" w:rsidRDefault="00256AF3" w:rsidP="00295714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60BC">
        <w:rPr>
          <w:rStyle w:val="s1"/>
          <w:rFonts w:ascii="Times New Roman" w:hAnsi="Times New Roman"/>
          <w:sz w:val="24"/>
          <w:szCs w:val="24"/>
        </w:rPr>
        <w:t xml:space="preserve">Актуальность исследования обусловлена возрастанием неопределённости в вопросах региональной безопасности, вызванной обострением </w:t>
      </w:r>
      <w:proofErr w:type="spellStart"/>
      <w:r w:rsidRPr="008960BC">
        <w:rPr>
          <w:rStyle w:val="s1"/>
          <w:rFonts w:ascii="Times New Roman" w:hAnsi="Times New Roman"/>
          <w:sz w:val="24"/>
          <w:szCs w:val="24"/>
        </w:rPr>
        <w:t>палестино-израильского</w:t>
      </w:r>
      <w:proofErr w:type="spellEnd"/>
      <w:r w:rsidRPr="008960BC">
        <w:rPr>
          <w:rStyle w:val="s1"/>
          <w:rFonts w:ascii="Times New Roman" w:hAnsi="Times New Roman"/>
          <w:sz w:val="24"/>
          <w:szCs w:val="24"/>
        </w:rPr>
        <w:t xml:space="preserve"> и </w:t>
      </w:r>
      <w:proofErr w:type="spellStart"/>
      <w:r w:rsidRPr="008960BC">
        <w:rPr>
          <w:rStyle w:val="s1"/>
          <w:rFonts w:ascii="Times New Roman" w:hAnsi="Times New Roman"/>
          <w:sz w:val="24"/>
          <w:szCs w:val="24"/>
        </w:rPr>
        <w:t>российско-украинского</w:t>
      </w:r>
      <w:proofErr w:type="spellEnd"/>
      <w:r w:rsidRPr="008960BC">
        <w:rPr>
          <w:rStyle w:val="s1"/>
          <w:rFonts w:ascii="Times New Roman" w:hAnsi="Times New Roman"/>
          <w:sz w:val="24"/>
          <w:szCs w:val="24"/>
        </w:rPr>
        <w:t xml:space="preserve"> конфликтов, а также усилением структурной милитаризации Японии, восстановлением позиций России и растущим влиянием Китая без применения силы. Эскалация напряжённости способствует пересмотру существующих форматов взаимодействия, строительству новых альянсов и формированию оригинальных моделей экономического и политического развития.</w:t>
      </w:r>
    </w:p>
    <w:p w14:paraId="3A45EC0C" w14:textId="7D62BE85" w:rsidR="00256AF3" w:rsidRPr="008960BC" w:rsidRDefault="00256AF3" w:rsidP="00295714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60BC">
        <w:rPr>
          <w:rStyle w:val="s1"/>
          <w:rFonts w:ascii="Times New Roman" w:hAnsi="Times New Roman"/>
          <w:sz w:val="24"/>
          <w:szCs w:val="24"/>
        </w:rPr>
        <w:t xml:space="preserve">Степень изученности проблемы представлена достаточно широко благодаря работам отечественных и зарубежных исследователей. Особое внимание в историографии уделяется анализу </w:t>
      </w:r>
      <w:proofErr w:type="spellStart"/>
      <w:r w:rsidRPr="008960BC">
        <w:rPr>
          <w:rStyle w:val="s1"/>
          <w:rFonts w:ascii="Times New Roman" w:hAnsi="Times New Roman"/>
          <w:sz w:val="24"/>
          <w:szCs w:val="24"/>
        </w:rPr>
        <w:t>российско-китайских</w:t>
      </w:r>
      <w:proofErr w:type="spellEnd"/>
      <w:r w:rsidRPr="008960BC">
        <w:rPr>
          <w:rStyle w:val="s1"/>
          <w:rFonts w:ascii="Times New Roman" w:hAnsi="Times New Roman"/>
          <w:sz w:val="24"/>
          <w:szCs w:val="24"/>
        </w:rPr>
        <w:t xml:space="preserve"> отношений (</w:t>
      </w:r>
      <w:proofErr w:type="spellStart"/>
      <w:r w:rsidRPr="008960BC">
        <w:rPr>
          <w:rStyle w:val="s1"/>
          <w:rFonts w:ascii="Times New Roman" w:hAnsi="Times New Roman"/>
          <w:sz w:val="24"/>
          <w:szCs w:val="24"/>
        </w:rPr>
        <w:t>Осчепков</w:t>
      </w:r>
      <w:proofErr w:type="spellEnd"/>
      <w:r w:rsidRPr="008960BC">
        <w:rPr>
          <w:rStyle w:val="s1"/>
          <w:rFonts w:ascii="Times New Roman" w:hAnsi="Times New Roman"/>
          <w:sz w:val="24"/>
          <w:szCs w:val="24"/>
        </w:rPr>
        <w:t xml:space="preserve"> В.П., </w:t>
      </w:r>
      <w:proofErr w:type="spellStart"/>
      <w:r w:rsidRPr="008960BC">
        <w:rPr>
          <w:rStyle w:val="s1"/>
          <w:rFonts w:ascii="Times New Roman" w:hAnsi="Times New Roman"/>
          <w:sz w:val="24"/>
          <w:szCs w:val="24"/>
        </w:rPr>
        <w:t>Голодинкина</w:t>
      </w:r>
      <w:proofErr w:type="spellEnd"/>
      <w:r w:rsidRPr="008960BC">
        <w:rPr>
          <w:rStyle w:val="s1"/>
          <w:rFonts w:ascii="Times New Roman" w:hAnsi="Times New Roman"/>
          <w:sz w:val="24"/>
          <w:szCs w:val="24"/>
        </w:rPr>
        <w:t xml:space="preserve"> С.О., Чжан </w:t>
      </w:r>
      <w:proofErr w:type="spellStart"/>
      <w:r w:rsidRPr="008960BC">
        <w:rPr>
          <w:rStyle w:val="s1"/>
          <w:rFonts w:ascii="Times New Roman" w:hAnsi="Times New Roman"/>
          <w:sz w:val="24"/>
          <w:szCs w:val="24"/>
        </w:rPr>
        <w:t>Синьсинь</w:t>
      </w:r>
      <w:proofErr w:type="spellEnd"/>
      <w:r w:rsidRPr="008960BC">
        <w:rPr>
          <w:rStyle w:val="s1"/>
          <w:rFonts w:ascii="Times New Roman" w:hAnsi="Times New Roman"/>
          <w:sz w:val="24"/>
          <w:szCs w:val="24"/>
        </w:rPr>
        <w:t xml:space="preserve"> и др.), стратегических коммуникаций в регионе (Бурлаков В.А., </w:t>
      </w:r>
      <w:proofErr w:type="spellStart"/>
      <w:r w:rsidRPr="008960BC">
        <w:rPr>
          <w:rStyle w:val="s1"/>
          <w:rFonts w:ascii="Times New Roman" w:hAnsi="Times New Roman"/>
          <w:sz w:val="24"/>
          <w:szCs w:val="24"/>
        </w:rPr>
        <w:t>Вольничук</w:t>
      </w:r>
      <w:proofErr w:type="spellEnd"/>
      <w:r w:rsidRPr="008960BC">
        <w:rPr>
          <w:rStyle w:val="s1"/>
          <w:rFonts w:ascii="Times New Roman" w:hAnsi="Times New Roman"/>
          <w:sz w:val="24"/>
          <w:szCs w:val="24"/>
        </w:rPr>
        <w:t xml:space="preserve"> А.Б.), аспектам безопасности (</w:t>
      </w:r>
      <w:proofErr w:type="spellStart"/>
      <w:r w:rsidRPr="008960BC">
        <w:rPr>
          <w:rStyle w:val="s1"/>
          <w:rFonts w:ascii="Times New Roman" w:hAnsi="Times New Roman"/>
          <w:sz w:val="24"/>
          <w:szCs w:val="24"/>
        </w:rPr>
        <w:t>Арешидзе</w:t>
      </w:r>
      <w:proofErr w:type="spellEnd"/>
      <w:r w:rsidRPr="008960BC">
        <w:rPr>
          <w:rStyle w:val="s1"/>
          <w:rFonts w:ascii="Times New Roman" w:hAnsi="Times New Roman"/>
          <w:sz w:val="24"/>
          <w:szCs w:val="24"/>
        </w:rPr>
        <w:t xml:space="preserve"> Л.Г., </w:t>
      </w:r>
      <w:proofErr w:type="spellStart"/>
      <w:r w:rsidRPr="008960BC">
        <w:rPr>
          <w:rStyle w:val="s1"/>
          <w:rFonts w:ascii="Times New Roman" w:hAnsi="Times New Roman"/>
          <w:sz w:val="24"/>
          <w:szCs w:val="24"/>
        </w:rPr>
        <w:t>Палченков</w:t>
      </w:r>
      <w:proofErr w:type="spellEnd"/>
      <w:r w:rsidRPr="008960BC">
        <w:rPr>
          <w:rStyle w:val="s1"/>
          <w:rFonts w:ascii="Times New Roman" w:hAnsi="Times New Roman"/>
          <w:sz w:val="24"/>
          <w:szCs w:val="24"/>
        </w:rPr>
        <w:t xml:space="preserve"> В.А., Ба </w:t>
      </w:r>
      <w:proofErr w:type="spellStart"/>
      <w:r w:rsidRPr="008960BC">
        <w:rPr>
          <w:rStyle w:val="s1"/>
          <w:rFonts w:ascii="Times New Roman" w:hAnsi="Times New Roman"/>
          <w:sz w:val="24"/>
          <w:szCs w:val="24"/>
        </w:rPr>
        <w:t>Дяньцзюнь</w:t>
      </w:r>
      <w:proofErr w:type="spellEnd"/>
      <w:r w:rsidRPr="008960BC">
        <w:rPr>
          <w:rStyle w:val="s1"/>
          <w:rFonts w:ascii="Times New Roman" w:hAnsi="Times New Roman"/>
          <w:sz w:val="24"/>
          <w:szCs w:val="24"/>
        </w:rPr>
        <w:t xml:space="preserve"> и др.). Вместе с тем, несмотря на обилие литературы, сохраняется потребность в комплексной оценке современных вызовов и тенденций расстановки сил в регионе с учётом новейшей военно-экономической динамики.</w:t>
      </w:r>
    </w:p>
    <w:p w14:paraId="11A59F43" w14:textId="1A98008D" w:rsidR="00256AF3" w:rsidRPr="008960BC" w:rsidRDefault="00256AF3" w:rsidP="00295714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60BC">
        <w:rPr>
          <w:rStyle w:val="s1"/>
          <w:rFonts w:ascii="Times New Roman" w:hAnsi="Times New Roman"/>
          <w:sz w:val="24"/>
          <w:szCs w:val="24"/>
        </w:rPr>
        <w:t>В данной работе использовались методы системного анализа, сравнительного и структурно-функционального подходов, что позволило объективно оценить трансформацию региональных конфигураций безопасности и экономического взаимодействия государств. Источниковая база включает широкий спектр аналитических и статистических данных, материалов международных организаций, официальных документов, а также публикаций ведущих исследовательских центров.</w:t>
      </w:r>
    </w:p>
    <w:p w14:paraId="50D3A39B" w14:textId="6C12A4F7" w:rsidR="00256AF3" w:rsidRPr="008960BC" w:rsidRDefault="00256AF3" w:rsidP="00295714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60BC">
        <w:rPr>
          <w:rStyle w:val="s1"/>
          <w:rFonts w:ascii="Times New Roman" w:hAnsi="Times New Roman"/>
          <w:sz w:val="24"/>
          <w:szCs w:val="24"/>
        </w:rPr>
        <w:t>Новизна авторского подхода заключается в комплексном анализе влияния изменений внутренних политических курсов государств СВА на формирование новых моделей взаимодействия ведущих держав, а также в выявлении факторов, определяющих устойчивость или уязвимость регионального баланса сил. В работе акцентировано внимание и на принципах стратегического партнёрства, военном сотрудничестве, особенностях коалиционной динамики, а также на структурных причинах сохраняющихся конфликтов (Тайваньский вопрос, ситуация на Корейском полуострове, территориальные споры Японии и КНР).</w:t>
      </w:r>
    </w:p>
    <w:p w14:paraId="4AA8C1BF" w14:textId="2634D745" w:rsidR="009B608B" w:rsidRPr="008960BC" w:rsidRDefault="009B608B" w:rsidP="00295714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60BC">
        <w:rPr>
          <w:rStyle w:val="s1"/>
          <w:rFonts w:ascii="Times New Roman" w:hAnsi="Times New Roman"/>
          <w:sz w:val="24"/>
          <w:szCs w:val="24"/>
        </w:rPr>
        <w:t xml:space="preserve">В исследовании раскрываются как внутренние, так и внешние вызовы для союзов России, КНР, КНДР, противостоящих коалиции США, Японии и Республики Корея, отмечается разный уровень </w:t>
      </w:r>
      <w:proofErr w:type="spellStart"/>
      <w:r w:rsidRPr="008960BC">
        <w:rPr>
          <w:rStyle w:val="s1"/>
          <w:rFonts w:ascii="Times New Roman" w:hAnsi="Times New Roman"/>
          <w:sz w:val="24"/>
          <w:szCs w:val="24"/>
        </w:rPr>
        <w:t>институционализации</w:t>
      </w:r>
      <w:proofErr w:type="spellEnd"/>
      <w:r w:rsidRPr="008960BC">
        <w:rPr>
          <w:rStyle w:val="s1"/>
          <w:rFonts w:ascii="Times New Roman" w:hAnsi="Times New Roman"/>
          <w:sz w:val="24"/>
          <w:szCs w:val="24"/>
        </w:rPr>
        <w:t xml:space="preserve"> и механизмов взаимодействия внутри союзов. Одним из ключевых выводов стало положение о росте значимости «тихой» экономической экспансии Китая и формировании внешнеэкономических каналов для России в условиях </w:t>
      </w:r>
      <w:proofErr w:type="spellStart"/>
      <w:r w:rsidRPr="008960BC">
        <w:rPr>
          <w:rStyle w:val="s1"/>
          <w:rFonts w:ascii="Times New Roman" w:hAnsi="Times New Roman"/>
          <w:sz w:val="24"/>
          <w:szCs w:val="24"/>
        </w:rPr>
        <w:t>санкционного</w:t>
      </w:r>
      <w:proofErr w:type="spellEnd"/>
      <w:r w:rsidRPr="008960BC">
        <w:rPr>
          <w:rStyle w:val="s1"/>
          <w:rFonts w:ascii="Times New Roman" w:hAnsi="Times New Roman"/>
          <w:sz w:val="24"/>
          <w:szCs w:val="24"/>
        </w:rPr>
        <w:t xml:space="preserve"> давления, что способствует структурным изменениям в экономике региона.</w:t>
      </w:r>
    </w:p>
    <w:p w14:paraId="576C05F8" w14:textId="7D436F33" w:rsidR="009B608B" w:rsidRPr="008960BC" w:rsidRDefault="009B608B" w:rsidP="00295714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60BC">
        <w:rPr>
          <w:rStyle w:val="s1"/>
          <w:rFonts w:ascii="Times New Roman" w:hAnsi="Times New Roman"/>
          <w:sz w:val="24"/>
          <w:szCs w:val="24"/>
        </w:rPr>
        <w:t>Основные результаты исследования показывают, что в обозримой перспективе наиболее вероятным сценарием эскалации кризиса является обострение вокруг Тайваня и сопутствующий экономический конфликт между КНР и США, тогда как вероятность прямого вооружённого столкновения на Корейском полуострове оценивается экспертами существенно ниже. Ожидается сохранение высокого уровня напряжённости между обеими Кореями, но обе стороны стремятся избегать катастрофических сценариев развития событий.</w:t>
      </w:r>
    </w:p>
    <w:p w14:paraId="7BD303F0" w14:textId="56D7E2AA" w:rsidR="00877E5F" w:rsidRPr="008960BC" w:rsidRDefault="009B608B" w:rsidP="00295714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60BC">
        <w:rPr>
          <w:rStyle w:val="s1"/>
          <w:rFonts w:ascii="Times New Roman" w:hAnsi="Times New Roman"/>
          <w:sz w:val="24"/>
          <w:szCs w:val="24"/>
        </w:rPr>
        <w:t>Выводы исследования позволяют утверждать, что Северо-Восточная Азия на современном этапе представляет собой динамично меняющийся центр тяжести мировой политики и экономики, балансирующий между стабильностью и новой волной конфликтов. От усилий ведущих игроков региона во многом зависит будущее формирование устойчивых моделей экономического развития и архитектуры безопасности как на региональном, так и на глобальном уровнях.</w:t>
      </w:r>
    </w:p>
    <w:p w14:paraId="7729D27F" w14:textId="77777777" w:rsidR="00C12857" w:rsidRPr="008960BC" w:rsidRDefault="00C12857" w:rsidP="00295714">
      <w:pPr>
        <w:spacing w:before="60" w:after="0" w:line="360" w:lineRule="auto"/>
        <w:ind w:left="75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960B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СПИСОК ИСПОЛЬЗОВАННЫХ ИСТОЧНИКОВ И ЛИТЕРАТУРЫ</w:t>
      </w:r>
    </w:p>
    <w:p w14:paraId="1A7D4E12" w14:textId="77777777" w:rsidR="00C12857" w:rsidRPr="008960BC" w:rsidRDefault="00C12857" w:rsidP="00295714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lang w:val="en-GB"/>
          <w14:ligatures w14:val="none"/>
        </w:rPr>
      </w:pPr>
      <w:r w:rsidRPr="008960BC">
        <w:rPr>
          <w:rFonts w:ascii="Times New Roman" w:hAnsi="Times New Roman" w:cs="Times New Roman"/>
          <w:color w:val="000000"/>
          <w:kern w:val="0"/>
          <w14:ligatures w14:val="none"/>
        </w:rPr>
        <w:t>​</w:t>
      </w:r>
      <w:r w:rsidRPr="008960B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Официальные документы:</w:t>
      </w:r>
    </w:p>
    <w:p w14:paraId="5428CCA6" w14:textId="77777777" w:rsidR="00C12857" w:rsidRPr="008960BC" w:rsidRDefault="00C12857" w:rsidP="00295714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 Комментарий официального представителя МИД России М.В. Захаровой о приостановке реализации Соглашения 1998 г. с Японией по промыслу морских живых ресурсов // МИД России: официальный сайт, 7 июня 2022. [Электронный ресурс]. URL: </w:t>
      </w:r>
      <w:hyperlink r:id="rId4" w:history="1">
        <w:r w:rsidRPr="008960BC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https://www.mid.ru/ru/press_service/spokesman/kommentarii/1816582/</w:t>
        </w:r>
      </w:hyperlink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(дата обращения: 25.12.2025). </w:t>
      </w:r>
    </w:p>
    <w:p w14:paraId="3C3FDA6A" w14:textId="77777777" w:rsidR="00C12857" w:rsidRPr="008960BC" w:rsidRDefault="00C12857" w:rsidP="00295714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3. Potsdam 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Declaration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Proclamation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Defining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Terms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Japanese 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Surrender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), 26 July 1945 (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paragraph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8) // Office of the 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Historian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official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website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[Электронный ресурс]. URL: </w:t>
      </w:r>
      <w:hyperlink r:id="rId5" w:history="1">
        <w:r w:rsidRPr="008960BC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https://history.state.gov/historicaldocuments/frus1945Berlinv02/d1382</w:t>
        </w:r>
      </w:hyperlink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(дата обращения: 24.12.2025).</w:t>
      </w:r>
    </w:p>
    <w:p w14:paraId="78AAF3BD" w14:textId="77777777" w:rsidR="00C12857" w:rsidRPr="008960BC" w:rsidRDefault="00C12857" w:rsidP="00295714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4. 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Treaty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Peace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with Japan (San Francisco 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Peace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Treaty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), 8 September 1951 (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Article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2) // United 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Nations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Treaty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Collection: 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official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website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[Электронный ресурс]. URL: </w:t>
      </w:r>
      <w:hyperlink r:id="rId6" w:history="1">
        <w:r w:rsidRPr="008960BC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https://treaties.un.org/doc/publication/unts/volume%20136/volume-136-i-1832-english.pdf</w:t>
        </w:r>
      </w:hyperlink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(дата обращения: 24.12.2025).</w:t>
      </w:r>
    </w:p>
    <w:p w14:paraId="515594B1" w14:textId="77777777" w:rsidR="00C12857" w:rsidRPr="008960BC" w:rsidRDefault="00C12857" w:rsidP="00295714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960BC">
        <w:rPr>
          <w:rFonts w:ascii="Times New Roman" w:hAnsi="Times New Roman" w:cs="Times New Roman"/>
          <w:color w:val="000000"/>
          <w:kern w:val="0"/>
          <w14:ligatures w14:val="none"/>
        </w:rPr>
        <w:t>​</w:t>
      </w:r>
      <w:r w:rsidRPr="008960B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Монографии, учебники:</w:t>
      </w:r>
    </w:p>
    <w:p w14:paraId="5B362DE1" w14:textId="77777777" w:rsidR="00C12857" w:rsidRPr="008960BC" w:rsidRDefault="00C12857" w:rsidP="00295714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 Батюк В.И., Морозов Ю.В. Стратегический треугольник США – КНР – РФ: вызовы и перспективы безопасности России. – М.: ИКСА РАН, 2022. С. 371.</w:t>
      </w:r>
    </w:p>
    <w:p w14:paraId="488AF9F0" w14:textId="77777777" w:rsidR="00C12857" w:rsidRPr="008960BC" w:rsidRDefault="00C12857" w:rsidP="00295714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6. 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Шахалилов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Ш.Ш. История международных отношений: движущие силы, глобальные тенденции. – М: Издательство Московского университета, 2015. – 561 с.</w:t>
      </w:r>
    </w:p>
    <w:p w14:paraId="16A346EE" w14:textId="77777777" w:rsidR="00C12857" w:rsidRPr="008960BC" w:rsidRDefault="00C12857" w:rsidP="00295714">
      <w:pPr>
        <w:spacing w:after="0" w:line="360" w:lineRule="auto"/>
        <w:ind w:left="525"/>
        <w:jc w:val="both"/>
        <w:rPr>
          <w:rFonts w:ascii="Times New Roman" w:hAnsi="Times New Roman" w:cs="Times New Roman"/>
          <w:b/>
          <w:bCs/>
          <w:color w:val="000000"/>
          <w:kern w:val="0"/>
          <w:lang w:val="en-GB"/>
          <w14:ligatures w14:val="none"/>
        </w:rPr>
      </w:pPr>
      <w:r w:rsidRPr="008960B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Публикации в периодических изданиях:</w:t>
      </w:r>
    </w:p>
    <w:p w14:paraId="10E4CAAB" w14:textId="77777777" w:rsidR="00C12857" w:rsidRPr="008960BC" w:rsidRDefault="00C12857" w:rsidP="00295714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9. Асмолов К.В., Бабаев К.В. 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Трёхполярный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мир и блоковые треугольники в Восточной Азии // Россия в глобальной политике. 2024. Т. 22. № 3. С. 165–181.</w:t>
      </w:r>
    </w:p>
    <w:p w14:paraId="343FAA0F" w14:textId="77777777" w:rsidR="00C12857" w:rsidRPr="008960BC" w:rsidRDefault="00C12857" w:rsidP="00295714">
      <w:pPr>
        <w:spacing w:after="0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12. Бабаев К.В. Стратегический треугольник Россия – США – КНР и будущее Северо-Восточной Азии // </w:t>
      </w:r>
      <w:proofErr w:type="spellStart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Корееведение</w:t>
      </w:r>
      <w:proofErr w:type="spellEnd"/>
      <w:r w:rsidRPr="00896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2023. № 4. C. 66–78.</w:t>
      </w:r>
    </w:p>
    <w:p w14:paraId="096BD42C" w14:textId="77777777" w:rsidR="00C12857" w:rsidRPr="008960BC" w:rsidRDefault="00C12857" w:rsidP="00295714">
      <w:pPr>
        <w:spacing w:line="360" w:lineRule="auto"/>
        <w:jc w:val="both"/>
        <w:rPr>
          <w:rFonts w:ascii="Times New Roman" w:hAnsi="Times New Roman" w:cs="Times New Roman"/>
        </w:rPr>
      </w:pPr>
    </w:p>
    <w:p w14:paraId="2671CF48" w14:textId="77777777" w:rsidR="00C12857" w:rsidRPr="008960BC" w:rsidRDefault="00C12857" w:rsidP="00295714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12857" w:rsidRPr="0089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57"/>
    <w:rsid w:val="00256AF3"/>
    <w:rsid w:val="00295714"/>
    <w:rsid w:val="003E7142"/>
    <w:rsid w:val="00877E5F"/>
    <w:rsid w:val="008960BC"/>
    <w:rsid w:val="009B608B"/>
    <w:rsid w:val="00B30ABE"/>
    <w:rsid w:val="00C12857"/>
    <w:rsid w:val="00FB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BA3E7D"/>
  <w15:chartTrackingRefBased/>
  <w15:docId w15:val="{55B5D786-4F1A-E649-A360-AE8F7A04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8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8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8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8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8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8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2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8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8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8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8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85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9B608B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9B608B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9B608B"/>
    <w:rPr>
      <w:rFonts w:ascii=".SFUI-Regular" w:hAnsi=".SFUI-Regular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eaties.un.org/doc/publication/unts/volume%20136/volume-136-i-1832-english.pdf" TargetMode="External"/><Relationship Id="rId5" Type="http://schemas.openxmlformats.org/officeDocument/2006/relationships/hyperlink" Target="https://history.state.gov/historicaldocuments/frus1945Berlinv02/d1382" TargetMode="External"/><Relationship Id="rId4" Type="http://schemas.openxmlformats.org/officeDocument/2006/relationships/hyperlink" Target="https://www.mid.ru/ru/press_service/spokesman/kommentarii/18165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Ярёменко</dc:creator>
  <cp:keywords/>
  <dc:description/>
  <cp:lastModifiedBy>Даниил Ярёменко</cp:lastModifiedBy>
  <cp:revision>2</cp:revision>
  <dcterms:created xsi:type="dcterms:W3CDTF">2026-03-09T18:28:00Z</dcterms:created>
  <dcterms:modified xsi:type="dcterms:W3CDTF">2026-03-09T18:28:00Z</dcterms:modified>
</cp:coreProperties>
</file>