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C13A574" w:rsidR="00130241" w:rsidRPr="00B11DA6" w:rsidRDefault="00B11DA6" w:rsidP="00497A0C">
      <w:pPr>
        <w:jc w:val="center"/>
        <w:rPr>
          <w:color w:val="000000"/>
        </w:rPr>
      </w:pPr>
      <w:proofErr w:type="spellStart"/>
      <w:r>
        <w:rPr>
          <w:b/>
          <w:bCs/>
          <w:color w:val="000000"/>
        </w:rPr>
        <w:t>Резорбируемая</w:t>
      </w:r>
      <w:proofErr w:type="spellEnd"/>
      <w:r>
        <w:rPr>
          <w:b/>
          <w:bCs/>
          <w:color w:val="000000"/>
        </w:rPr>
        <w:t xml:space="preserve"> керамика</w:t>
      </w:r>
      <w:r w:rsidR="007F13BA" w:rsidRPr="007F13BA">
        <w:rPr>
          <w:b/>
          <w:bCs/>
          <w:color w:val="000000"/>
        </w:rPr>
        <w:t xml:space="preserve"> в систем</w:t>
      </w:r>
      <w:r w:rsidR="00367A4E">
        <w:rPr>
          <w:b/>
          <w:bCs/>
          <w:color w:val="000000"/>
        </w:rPr>
        <w:t>е</w:t>
      </w:r>
      <w:r w:rsidR="00AC33FF">
        <w:rPr>
          <w:color w:val="000000"/>
        </w:rPr>
        <w:br/>
      </w:r>
      <w:proofErr w:type="spellStart"/>
      <w:r w:rsidR="007F13BA" w:rsidRPr="00B11DA6">
        <w:rPr>
          <w:b/>
          <w:bCs/>
          <w:color w:val="000000"/>
          <w:lang w:val="en-US"/>
        </w:rPr>
        <w:t>CaNaPO</w:t>
      </w:r>
      <w:proofErr w:type="spellEnd"/>
      <w:r w:rsidR="007F13BA" w:rsidRPr="00B11DA6">
        <w:rPr>
          <w:b/>
          <w:bCs/>
          <w:color w:val="000000"/>
          <w:vertAlign w:val="subscript"/>
        </w:rPr>
        <w:t>4</w:t>
      </w:r>
      <w:r w:rsidR="007F13BA" w:rsidRPr="00B11DA6">
        <w:rPr>
          <w:b/>
          <w:bCs/>
          <w:color w:val="000000"/>
        </w:rPr>
        <w:t>–</w:t>
      </w:r>
      <w:r w:rsidR="007F13BA" w:rsidRPr="00B11DA6">
        <w:rPr>
          <w:b/>
          <w:bCs/>
          <w:color w:val="000000"/>
          <w:lang w:val="en-US"/>
        </w:rPr>
        <w:t>Ca</w:t>
      </w:r>
      <w:r w:rsidR="007F13BA" w:rsidRPr="00B11DA6">
        <w:rPr>
          <w:b/>
          <w:bCs/>
          <w:color w:val="000000"/>
          <w:vertAlign w:val="subscript"/>
        </w:rPr>
        <w:t>3</w:t>
      </w:r>
      <w:r w:rsidR="007F13BA" w:rsidRPr="00B11DA6">
        <w:rPr>
          <w:b/>
          <w:bCs/>
          <w:color w:val="000000"/>
        </w:rPr>
        <w:t>(</w:t>
      </w:r>
      <w:r w:rsidR="007F13BA" w:rsidRPr="00B11DA6">
        <w:rPr>
          <w:b/>
          <w:bCs/>
          <w:color w:val="000000"/>
          <w:lang w:val="en-US"/>
        </w:rPr>
        <w:t>PO</w:t>
      </w:r>
      <w:r w:rsidR="007F13BA" w:rsidRPr="00B11DA6">
        <w:rPr>
          <w:b/>
          <w:bCs/>
          <w:color w:val="000000"/>
          <w:vertAlign w:val="subscript"/>
        </w:rPr>
        <w:t>4</w:t>
      </w:r>
      <w:r w:rsidR="007F13BA" w:rsidRPr="00B11DA6">
        <w:rPr>
          <w:b/>
          <w:bCs/>
          <w:color w:val="000000"/>
        </w:rPr>
        <w:t>)</w:t>
      </w:r>
      <w:r w:rsidR="007F13BA" w:rsidRPr="00B11DA6">
        <w:rPr>
          <w:b/>
          <w:bCs/>
          <w:color w:val="000000"/>
          <w:vertAlign w:val="subscript"/>
        </w:rPr>
        <w:t>2</w:t>
      </w:r>
      <w:r w:rsidR="007F13BA" w:rsidRPr="00B11DA6">
        <w:rPr>
          <w:b/>
          <w:bCs/>
          <w:color w:val="000000"/>
        </w:rPr>
        <w:t>–</w:t>
      </w:r>
      <w:r w:rsidR="007F13BA" w:rsidRPr="00B11DA6">
        <w:rPr>
          <w:b/>
          <w:bCs/>
          <w:color w:val="000000"/>
          <w:lang w:val="en-US"/>
        </w:rPr>
        <w:t>Ca</w:t>
      </w:r>
      <w:r w:rsidR="007F13BA" w:rsidRPr="00B11DA6">
        <w:rPr>
          <w:b/>
          <w:bCs/>
          <w:color w:val="000000"/>
          <w:vertAlign w:val="subscript"/>
        </w:rPr>
        <w:t>2</w:t>
      </w:r>
      <w:proofErr w:type="spellStart"/>
      <w:r w:rsidR="007F13BA" w:rsidRPr="00B11DA6">
        <w:rPr>
          <w:b/>
          <w:bCs/>
          <w:color w:val="000000"/>
          <w:lang w:val="en-US"/>
        </w:rPr>
        <w:t>SiO</w:t>
      </w:r>
      <w:proofErr w:type="spellEnd"/>
      <w:r w:rsidR="007F13BA" w:rsidRPr="00B11DA6">
        <w:rPr>
          <w:b/>
          <w:bCs/>
          <w:color w:val="000000"/>
          <w:vertAlign w:val="subscript"/>
        </w:rPr>
        <w:t>4</w:t>
      </w:r>
      <w:r w:rsidRPr="00B11DA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для</w:t>
      </w:r>
      <w:r w:rsidRPr="00B11DA6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восстановления костной ткани</w:t>
      </w:r>
    </w:p>
    <w:p w14:paraId="00000002" w14:textId="37577414" w:rsidR="00130241" w:rsidRDefault="007F13BA" w:rsidP="00497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Погольская Д.Д.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Леонтьев Н.В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Евдокимов П.В.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Путляев</w:t>
      </w:r>
      <w:proofErr w:type="spellEnd"/>
      <w:r>
        <w:rPr>
          <w:b/>
          <w:i/>
          <w:color w:val="000000"/>
        </w:rPr>
        <w:t xml:space="preserve"> В.И.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</w:p>
    <w:p w14:paraId="00000003" w14:textId="35AF8ACF" w:rsidR="00130241" w:rsidRDefault="00EB1F49" w:rsidP="00497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F13BA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2B6FDE35" w14:textId="77777777" w:rsidR="00AC33FF" w:rsidRDefault="00EB1F49" w:rsidP="00497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65015172" w14:textId="77777777" w:rsidR="000104AE" w:rsidRDefault="007F13BA" w:rsidP="000104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МГУ имени М.В. Ломоносова, факультет наук о материалах, Москва, Россия</w:t>
      </w:r>
    </w:p>
    <w:p w14:paraId="00000008" w14:textId="30A27F7B" w:rsidR="00130241" w:rsidRPr="00AC33FF" w:rsidRDefault="00EB1F49" w:rsidP="000104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C33FF">
        <w:rPr>
          <w:i/>
          <w:color w:val="000000"/>
          <w:lang w:val="en-US"/>
        </w:rPr>
        <w:t>E</w:t>
      </w:r>
      <w:r w:rsidR="003B76D6" w:rsidRPr="00AC33FF">
        <w:rPr>
          <w:i/>
          <w:color w:val="000000"/>
          <w:lang w:val="en-US"/>
        </w:rPr>
        <w:t>-</w:t>
      </w:r>
      <w:r w:rsidRPr="00AC33FF">
        <w:rPr>
          <w:i/>
          <w:color w:val="000000"/>
          <w:lang w:val="en-US"/>
        </w:rPr>
        <w:t xml:space="preserve">mail: </w:t>
      </w:r>
      <w:hyperlink r:id="rId6" w:history="1">
        <w:r w:rsidR="007F13BA" w:rsidRPr="00AC33FF">
          <w:rPr>
            <w:rStyle w:val="a9"/>
            <w:i/>
            <w:color w:val="000000"/>
            <w:lang w:val="en-US"/>
          </w:rPr>
          <w:t>zaslavskaya.dar@yandex.ru</w:t>
        </w:r>
      </w:hyperlink>
    </w:p>
    <w:p w14:paraId="30C381CA" w14:textId="37D2E76F" w:rsidR="006324BC" w:rsidRPr="00AC33FF" w:rsidRDefault="006324BC" w:rsidP="00497A0C">
      <w:pPr>
        <w:pStyle w:val="ds-markdown-paragraph"/>
        <w:spacing w:before="0" w:beforeAutospacing="0" w:after="0" w:afterAutospacing="0"/>
        <w:ind w:firstLine="397"/>
        <w:jc w:val="both"/>
        <w:rPr>
          <w:rFonts w:eastAsia="Calibri"/>
          <w:bCs/>
          <w:iCs/>
          <w:color w:val="000000"/>
        </w:rPr>
      </w:pPr>
      <w:r w:rsidRPr="00AC33FF">
        <w:rPr>
          <w:bCs/>
          <w:iCs/>
          <w:color w:val="000000"/>
        </w:rPr>
        <w:t xml:space="preserve">Для </w:t>
      </w:r>
      <w:r w:rsidR="00EF352B" w:rsidRPr="00AC33FF">
        <w:rPr>
          <w:bCs/>
          <w:iCs/>
          <w:color w:val="000000"/>
        </w:rPr>
        <w:t>регенерации</w:t>
      </w:r>
      <w:r w:rsidRPr="00AC33FF">
        <w:rPr>
          <w:bCs/>
          <w:iCs/>
          <w:color w:val="000000"/>
        </w:rPr>
        <w:t xml:space="preserve"> костной ткани необходимы биосовместимые керамические материалы нового поколения, ключевыми характеристиками которых являются оптимальная скорость резорбции и поддержание физиологического значения pH (7.35–7.45) при гидролизе продуктов растворения, что достигается путем направленного изменения их химического состава</w:t>
      </w:r>
      <w:r w:rsidR="007F13BA" w:rsidRPr="00AC33FF">
        <w:rPr>
          <w:bCs/>
          <w:iCs/>
          <w:color w:val="000000"/>
        </w:rPr>
        <w:t xml:space="preserve">. В системе </w:t>
      </w:r>
      <w:r w:rsidR="007F13BA" w:rsidRPr="00AC33FF">
        <w:rPr>
          <w:rFonts w:eastAsia="MS Mincho"/>
          <w:color w:val="000000"/>
          <w:lang w:eastAsia="ja-JP"/>
        </w:rPr>
        <w:t>CaNaPO</w:t>
      </w:r>
      <w:r w:rsidR="007F13BA" w:rsidRPr="00AC33FF">
        <w:rPr>
          <w:rFonts w:eastAsia="MS Mincho"/>
          <w:color w:val="000000"/>
          <w:vertAlign w:val="subscript"/>
          <w:lang w:eastAsia="ja-JP"/>
        </w:rPr>
        <w:t>4</w:t>
      </w:r>
      <w:r w:rsidR="007F13BA" w:rsidRPr="00AC33FF">
        <w:rPr>
          <w:rFonts w:eastAsia="MS Mincho"/>
          <w:color w:val="000000"/>
          <w:lang w:eastAsia="ja-JP"/>
        </w:rPr>
        <w:t>–Ca</w:t>
      </w:r>
      <w:r w:rsidR="007F13BA" w:rsidRPr="00AC33FF">
        <w:rPr>
          <w:rFonts w:eastAsia="MS Mincho"/>
          <w:color w:val="000000"/>
          <w:vertAlign w:val="subscript"/>
          <w:lang w:eastAsia="ja-JP"/>
        </w:rPr>
        <w:t>3</w:t>
      </w:r>
      <w:r w:rsidR="007F13BA" w:rsidRPr="00AC33FF">
        <w:rPr>
          <w:rFonts w:eastAsia="MS Mincho"/>
          <w:color w:val="000000"/>
          <w:lang w:eastAsia="ja-JP"/>
        </w:rPr>
        <w:t>(PO</w:t>
      </w:r>
      <w:r w:rsidR="007F13BA" w:rsidRPr="00AC33FF">
        <w:rPr>
          <w:rFonts w:eastAsia="MS Mincho"/>
          <w:color w:val="000000"/>
          <w:vertAlign w:val="subscript"/>
          <w:lang w:eastAsia="ja-JP"/>
        </w:rPr>
        <w:t>4</w:t>
      </w:r>
      <w:r w:rsidR="007F13BA" w:rsidRPr="00AC33FF">
        <w:rPr>
          <w:rFonts w:eastAsia="MS Mincho"/>
          <w:color w:val="000000"/>
          <w:lang w:eastAsia="ja-JP"/>
        </w:rPr>
        <w:t>)</w:t>
      </w:r>
      <w:r w:rsidR="007F13BA" w:rsidRPr="00AC33FF">
        <w:rPr>
          <w:rFonts w:eastAsia="MS Mincho"/>
          <w:color w:val="000000"/>
          <w:vertAlign w:val="subscript"/>
          <w:lang w:eastAsia="ja-JP"/>
        </w:rPr>
        <w:t>2</w:t>
      </w:r>
      <w:r w:rsidR="007F13BA" w:rsidRPr="00AC33FF">
        <w:rPr>
          <w:rFonts w:eastAsia="MS Mincho"/>
          <w:color w:val="000000"/>
          <w:lang w:eastAsia="ja-JP"/>
        </w:rPr>
        <w:t>–Ca</w:t>
      </w:r>
      <w:r w:rsidR="007F13BA" w:rsidRPr="00AC33FF">
        <w:rPr>
          <w:rFonts w:eastAsia="MS Mincho"/>
          <w:color w:val="000000"/>
          <w:vertAlign w:val="subscript"/>
          <w:lang w:eastAsia="ja-JP"/>
        </w:rPr>
        <w:t>2</w:t>
      </w:r>
      <w:r w:rsidR="007F13BA" w:rsidRPr="00AC33FF">
        <w:rPr>
          <w:rFonts w:eastAsia="MS Mincho"/>
          <w:color w:val="000000"/>
          <w:lang w:eastAsia="ja-JP"/>
        </w:rPr>
        <w:t>SiO</w:t>
      </w:r>
      <w:r w:rsidR="007F13BA" w:rsidRPr="00AC33FF">
        <w:rPr>
          <w:rFonts w:eastAsia="MS Mincho"/>
          <w:color w:val="000000"/>
          <w:vertAlign w:val="subscript"/>
          <w:lang w:eastAsia="ja-JP"/>
        </w:rPr>
        <w:t>4</w:t>
      </w:r>
      <w:r w:rsidR="007F13BA" w:rsidRPr="00AC33FF">
        <w:rPr>
          <w:bCs/>
          <w:iCs/>
          <w:color w:val="000000"/>
        </w:rPr>
        <w:t xml:space="preserve"> существуют обширные поля высокотемпературных твердых растворов с переменным составом, обладающие повышенной растворимостью (резорбцией). В работе представлены закономерности формирования </w:t>
      </w:r>
      <w:r w:rsidR="007F13BA" w:rsidRPr="00AC33FF">
        <w:rPr>
          <w:color w:val="000000"/>
        </w:rPr>
        <w:t xml:space="preserve">керамики на основе твердых растворов </w:t>
      </w:r>
      <w:r w:rsidR="007F13BA" w:rsidRPr="00AC33FF">
        <w:rPr>
          <w:rFonts w:eastAsia="Calibri"/>
          <w:bCs/>
          <w:iCs/>
          <w:color w:val="000000"/>
          <w:lang w:val="en-US"/>
        </w:rPr>
        <w:t>Ca</w:t>
      </w:r>
      <w:r w:rsidR="007F13BA" w:rsidRPr="00AC33FF">
        <w:rPr>
          <w:rFonts w:eastAsia="Calibri"/>
          <w:bCs/>
          <w:iCs/>
          <w:color w:val="000000"/>
          <w:vertAlign w:val="subscript"/>
        </w:rPr>
        <w:t>2–</w:t>
      </w:r>
      <w:r w:rsidR="007F13BA" w:rsidRPr="00AC33FF">
        <w:rPr>
          <w:rFonts w:eastAsia="Calibri"/>
          <w:bCs/>
          <w:i/>
          <w:color w:val="000000"/>
          <w:vertAlign w:val="subscript"/>
          <w:lang w:val="en-US"/>
        </w:rPr>
        <w:t>x</w:t>
      </w:r>
      <w:r w:rsidR="007F13BA" w:rsidRPr="00AC33FF">
        <w:rPr>
          <w:rFonts w:eastAsia="Calibri"/>
          <w:bCs/>
          <w:iCs/>
          <w:color w:val="000000"/>
          <w:vertAlign w:val="subscript"/>
        </w:rPr>
        <w:t>+</w:t>
      </w:r>
      <w:proofErr w:type="spellStart"/>
      <w:proofErr w:type="gramStart"/>
      <w:r w:rsidR="007F13BA" w:rsidRPr="00AC33FF">
        <w:rPr>
          <w:rFonts w:eastAsia="Calibri"/>
          <w:bCs/>
          <w:i/>
          <w:color w:val="000000"/>
          <w:vertAlign w:val="subscript"/>
          <w:lang w:val="en-US"/>
        </w:rPr>
        <w:t>y</w:t>
      </w:r>
      <w:r w:rsidR="007F13BA" w:rsidRPr="00AC33FF">
        <w:rPr>
          <w:rFonts w:eastAsia="Calibri"/>
          <w:bCs/>
          <w:iCs/>
          <w:color w:val="000000"/>
          <w:lang w:val="en-US"/>
        </w:rPr>
        <w:t>Na</w:t>
      </w:r>
      <w:r w:rsidR="007F13BA" w:rsidRPr="00AC33FF">
        <w:rPr>
          <w:rFonts w:eastAsia="Calibri"/>
          <w:bCs/>
          <w:i/>
          <w:color w:val="000000"/>
          <w:vertAlign w:val="subscript"/>
          <w:lang w:val="en-US"/>
        </w:rPr>
        <w:t>x</w:t>
      </w:r>
      <w:proofErr w:type="spellEnd"/>
      <w:r w:rsidR="007F13BA" w:rsidRPr="00AC33FF">
        <w:rPr>
          <w:rFonts w:eastAsia="Calibri"/>
          <w:bCs/>
          <w:iCs/>
          <w:color w:val="000000"/>
        </w:rPr>
        <w:t>(</w:t>
      </w:r>
      <w:proofErr w:type="gramEnd"/>
      <w:r w:rsidR="007F13BA" w:rsidRPr="00AC33FF">
        <w:rPr>
          <w:rFonts w:eastAsia="Calibri"/>
          <w:bCs/>
          <w:iCs/>
          <w:color w:val="000000"/>
          <w:lang w:val="en-US"/>
        </w:rPr>
        <w:t>PO</w:t>
      </w:r>
      <w:proofErr w:type="gramStart"/>
      <w:r w:rsidR="007F13BA" w:rsidRPr="00AC33FF">
        <w:rPr>
          <w:rFonts w:eastAsia="Calibri"/>
          <w:bCs/>
          <w:iCs/>
          <w:color w:val="000000"/>
          <w:vertAlign w:val="subscript"/>
        </w:rPr>
        <w:t>4</w:t>
      </w:r>
      <w:r w:rsidR="007F13BA" w:rsidRPr="00AC33FF">
        <w:rPr>
          <w:rFonts w:eastAsia="Calibri"/>
          <w:bCs/>
          <w:iCs/>
          <w:color w:val="000000"/>
        </w:rPr>
        <w:t>)</w:t>
      </w:r>
      <w:r w:rsidR="007F13BA" w:rsidRPr="00AC33FF">
        <w:rPr>
          <w:rFonts w:eastAsia="Calibri"/>
          <w:bCs/>
          <w:i/>
          <w:color w:val="000000"/>
          <w:vertAlign w:val="subscript"/>
          <w:lang w:val="en-US"/>
        </w:rPr>
        <w:t>x</w:t>
      </w:r>
      <w:proofErr w:type="gramEnd"/>
      <w:r w:rsidR="007F13BA" w:rsidRPr="00AC33FF">
        <w:rPr>
          <w:rFonts w:eastAsia="Calibri"/>
          <w:bCs/>
          <w:iCs/>
          <w:color w:val="000000"/>
          <w:vertAlign w:val="subscript"/>
        </w:rPr>
        <w:t>+2</w:t>
      </w:r>
      <w:r w:rsidR="007F13BA" w:rsidRPr="00AC33FF">
        <w:rPr>
          <w:rFonts w:eastAsia="Calibri"/>
          <w:bCs/>
          <w:i/>
          <w:color w:val="000000"/>
          <w:vertAlign w:val="subscript"/>
          <w:lang w:val="en-US"/>
        </w:rPr>
        <w:t>y</w:t>
      </w:r>
      <w:r w:rsidR="007F13BA" w:rsidRPr="00AC33FF">
        <w:rPr>
          <w:rFonts w:eastAsia="Calibri"/>
          <w:bCs/>
          <w:iCs/>
          <w:color w:val="000000"/>
        </w:rPr>
        <w:t>(</w:t>
      </w:r>
      <w:proofErr w:type="spellStart"/>
      <w:r w:rsidR="007F13BA" w:rsidRPr="00AC33FF">
        <w:rPr>
          <w:rFonts w:eastAsia="Calibri"/>
          <w:bCs/>
          <w:iCs/>
          <w:color w:val="000000"/>
          <w:lang w:val="en-US"/>
        </w:rPr>
        <w:t>SiO</w:t>
      </w:r>
      <w:proofErr w:type="spellEnd"/>
      <w:r w:rsidR="007F13BA" w:rsidRPr="00AC33FF">
        <w:rPr>
          <w:rFonts w:eastAsia="Calibri"/>
          <w:bCs/>
          <w:iCs/>
          <w:color w:val="000000"/>
          <w:vertAlign w:val="subscript"/>
        </w:rPr>
        <w:t>4</w:t>
      </w:r>
      <w:r w:rsidR="007F13BA" w:rsidRPr="00AC33FF">
        <w:rPr>
          <w:rFonts w:eastAsia="Calibri"/>
          <w:bCs/>
          <w:iCs/>
          <w:color w:val="000000"/>
        </w:rPr>
        <w:t>)</w:t>
      </w:r>
      <w:r w:rsidR="007F13BA" w:rsidRPr="00AC33FF">
        <w:rPr>
          <w:rFonts w:eastAsia="Calibri"/>
          <w:bCs/>
          <w:iCs/>
          <w:color w:val="000000"/>
          <w:vertAlign w:val="subscript"/>
        </w:rPr>
        <w:t>1–</w:t>
      </w:r>
      <w:r w:rsidR="007F13BA" w:rsidRPr="00AC33FF">
        <w:rPr>
          <w:rFonts w:eastAsia="Calibri"/>
          <w:bCs/>
          <w:i/>
          <w:color w:val="000000"/>
          <w:vertAlign w:val="subscript"/>
          <w:lang w:val="en-US"/>
        </w:rPr>
        <w:t>x</w:t>
      </w:r>
      <w:r w:rsidR="007F13BA" w:rsidRPr="00AC33FF">
        <w:rPr>
          <w:rFonts w:eastAsia="Calibri"/>
          <w:bCs/>
          <w:iCs/>
          <w:color w:val="000000"/>
          <w:vertAlign w:val="subscript"/>
        </w:rPr>
        <w:t>–</w:t>
      </w:r>
      <w:r w:rsidR="007F13BA" w:rsidRPr="00AC33FF">
        <w:rPr>
          <w:rFonts w:eastAsia="Calibri"/>
          <w:bCs/>
          <w:i/>
          <w:color w:val="000000"/>
          <w:vertAlign w:val="subscript"/>
          <w:lang w:val="en-US"/>
        </w:rPr>
        <w:t>y</w:t>
      </w:r>
      <w:r w:rsidR="007F13BA" w:rsidRPr="00AC33FF">
        <w:rPr>
          <w:rFonts w:eastAsia="Calibri"/>
          <w:bCs/>
          <w:iCs/>
          <w:color w:val="000000"/>
        </w:rPr>
        <w:t xml:space="preserve"> с </w:t>
      </w:r>
      <w:proofErr w:type="spellStart"/>
      <w:r w:rsidR="007F13BA" w:rsidRPr="00AC33FF">
        <w:rPr>
          <w:rFonts w:eastAsia="Calibri"/>
          <w:bCs/>
          <w:iCs/>
          <w:color w:val="000000"/>
        </w:rPr>
        <w:t>глазеритоподобными</w:t>
      </w:r>
      <w:proofErr w:type="spellEnd"/>
      <w:r w:rsidR="007F13BA" w:rsidRPr="00AC33FF">
        <w:rPr>
          <w:rFonts w:eastAsia="Calibri"/>
          <w:bCs/>
          <w:iCs/>
          <w:color w:val="000000"/>
        </w:rPr>
        <w:t xml:space="preserve"> структурами </w:t>
      </w:r>
      <w:proofErr w:type="spellStart"/>
      <w:r w:rsidR="007F13BA" w:rsidRPr="00AC33FF">
        <w:rPr>
          <w:rFonts w:eastAsia="Calibri"/>
          <w:bCs/>
          <w:iCs/>
          <w:color w:val="000000"/>
        </w:rPr>
        <w:t>нагельшмидтита</w:t>
      </w:r>
      <w:proofErr w:type="spellEnd"/>
      <w:r w:rsidR="007F13BA" w:rsidRPr="00AC33FF">
        <w:rPr>
          <w:rFonts w:eastAsia="Calibri"/>
          <w:bCs/>
          <w:iCs/>
          <w:color w:val="000000"/>
        </w:rPr>
        <w:t xml:space="preserve"> (катионы/анионы = 7/4) или карнотита (катионы/анионы = 5/3).</w:t>
      </w:r>
    </w:p>
    <w:p w14:paraId="43049272" w14:textId="4A0839C5" w:rsidR="007F13BA" w:rsidRPr="006324BC" w:rsidRDefault="006324BC" w:rsidP="00497A0C">
      <w:pPr>
        <w:pStyle w:val="ds-markdown-paragraph"/>
        <w:spacing w:before="0" w:beforeAutospacing="0" w:after="0" w:afterAutospacing="0"/>
        <w:ind w:firstLine="397"/>
        <w:jc w:val="both"/>
        <w:rPr>
          <w:bCs/>
          <w:iCs/>
        </w:rPr>
      </w:pPr>
      <w:r>
        <w:rPr>
          <w:rFonts w:eastAsia="Calibri"/>
          <w:bCs/>
          <w:iCs/>
        </w:rPr>
        <w:t>Д</w:t>
      </w:r>
      <w:r w:rsidR="007F13BA" w:rsidRPr="003F4923">
        <w:rPr>
          <w:rFonts w:eastAsia="MS Mincho"/>
          <w:lang w:eastAsia="ja-JP"/>
        </w:rPr>
        <w:t xml:space="preserve">ля твердого раствора </w:t>
      </w:r>
      <w:r w:rsidR="007F13BA" w:rsidRPr="003F4923">
        <w:rPr>
          <w:rFonts w:eastAsia="Calibri"/>
          <w:bCs/>
          <w:iCs/>
        </w:rPr>
        <w:t>Ca</w:t>
      </w:r>
      <w:r w:rsidR="007F13BA" w:rsidRPr="003F4923">
        <w:rPr>
          <w:rFonts w:eastAsia="Calibri"/>
          <w:bCs/>
          <w:iCs/>
          <w:vertAlign w:val="subscript"/>
        </w:rPr>
        <w:t>2–</w:t>
      </w:r>
      <w:proofErr w:type="spellStart"/>
      <w:r w:rsidR="007F13BA" w:rsidRPr="003F4923">
        <w:rPr>
          <w:rFonts w:eastAsia="Calibri"/>
          <w:bCs/>
          <w:i/>
          <w:vertAlign w:val="subscript"/>
        </w:rPr>
        <w:t>x</w:t>
      </w:r>
      <w:r w:rsidR="007F13BA" w:rsidRPr="003F4923">
        <w:rPr>
          <w:rFonts w:eastAsia="Calibri"/>
          <w:bCs/>
          <w:iCs/>
          <w:vertAlign w:val="subscript"/>
        </w:rPr>
        <w:t>+</w:t>
      </w:r>
      <w:proofErr w:type="gramStart"/>
      <w:r w:rsidR="007F13BA" w:rsidRPr="003F4923">
        <w:rPr>
          <w:rFonts w:eastAsia="Calibri"/>
          <w:bCs/>
          <w:i/>
          <w:vertAlign w:val="subscript"/>
        </w:rPr>
        <w:t>y</w:t>
      </w:r>
      <w:r w:rsidR="007F13BA" w:rsidRPr="003F4923">
        <w:rPr>
          <w:rFonts w:eastAsia="Calibri"/>
          <w:bCs/>
          <w:iCs/>
        </w:rPr>
        <w:t>Na</w:t>
      </w:r>
      <w:r w:rsidR="007F13BA" w:rsidRPr="003F4923">
        <w:rPr>
          <w:rFonts w:eastAsia="Calibri"/>
          <w:bCs/>
          <w:i/>
          <w:vertAlign w:val="subscript"/>
        </w:rPr>
        <w:t>x</w:t>
      </w:r>
      <w:proofErr w:type="spellEnd"/>
      <w:r w:rsidR="007F13BA" w:rsidRPr="003F4923">
        <w:rPr>
          <w:rFonts w:eastAsia="Calibri"/>
          <w:bCs/>
          <w:iCs/>
        </w:rPr>
        <w:t>(</w:t>
      </w:r>
      <w:proofErr w:type="gramEnd"/>
      <w:r w:rsidR="007F13BA" w:rsidRPr="003F4923">
        <w:rPr>
          <w:rFonts w:eastAsia="Calibri"/>
          <w:bCs/>
          <w:iCs/>
        </w:rPr>
        <w:t>PO</w:t>
      </w:r>
      <w:proofErr w:type="gramStart"/>
      <w:r w:rsidR="007F13BA" w:rsidRPr="003F4923">
        <w:rPr>
          <w:rFonts w:eastAsia="Calibri"/>
          <w:bCs/>
          <w:iCs/>
          <w:vertAlign w:val="subscript"/>
        </w:rPr>
        <w:t>4</w:t>
      </w:r>
      <w:r w:rsidR="007F13BA" w:rsidRPr="003F4923">
        <w:rPr>
          <w:rFonts w:eastAsia="Calibri"/>
          <w:bCs/>
          <w:iCs/>
        </w:rPr>
        <w:t>)</w:t>
      </w:r>
      <w:r w:rsidR="007F13BA" w:rsidRPr="003F4923">
        <w:rPr>
          <w:rFonts w:eastAsia="Calibri"/>
          <w:bCs/>
          <w:i/>
          <w:vertAlign w:val="subscript"/>
        </w:rPr>
        <w:t>x</w:t>
      </w:r>
      <w:proofErr w:type="gramEnd"/>
      <w:r w:rsidR="007F13BA" w:rsidRPr="003F4923">
        <w:rPr>
          <w:rFonts w:eastAsia="Calibri"/>
          <w:bCs/>
          <w:iCs/>
          <w:vertAlign w:val="subscript"/>
        </w:rPr>
        <w:t>+2</w:t>
      </w:r>
      <w:r w:rsidR="007F13BA" w:rsidRPr="003F4923">
        <w:rPr>
          <w:rFonts w:eastAsia="Calibri"/>
          <w:bCs/>
          <w:i/>
          <w:vertAlign w:val="subscript"/>
        </w:rPr>
        <w:t>y</w:t>
      </w:r>
      <w:r w:rsidR="007F13BA" w:rsidRPr="003F4923">
        <w:rPr>
          <w:rFonts w:eastAsia="Calibri"/>
          <w:bCs/>
          <w:iCs/>
        </w:rPr>
        <w:t>(SiO</w:t>
      </w:r>
      <w:r w:rsidR="007F13BA" w:rsidRPr="003F4923">
        <w:rPr>
          <w:rFonts w:eastAsia="Calibri"/>
          <w:bCs/>
          <w:iCs/>
          <w:vertAlign w:val="subscript"/>
        </w:rPr>
        <w:t>4</w:t>
      </w:r>
      <w:r w:rsidR="007F13BA" w:rsidRPr="003F4923">
        <w:rPr>
          <w:rFonts w:eastAsia="Calibri"/>
          <w:bCs/>
          <w:iCs/>
        </w:rPr>
        <w:t>)</w:t>
      </w:r>
      <w:r w:rsidR="007F13BA" w:rsidRPr="003F4923">
        <w:rPr>
          <w:rFonts w:eastAsia="Calibri"/>
          <w:bCs/>
          <w:iCs/>
          <w:vertAlign w:val="subscript"/>
        </w:rPr>
        <w:t>1–</w:t>
      </w:r>
      <w:r w:rsidR="007F13BA" w:rsidRPr="003F4923">
        <w:rPr>
          <w:rFonts w:eastAsia="Calibri"/>
          <w:bCs/>
          <w:i/>
          <w:vertAlign w:val="subscript"/>
        </w:rPr>
        <w:t>x</w:t>
      </w:r>
      <w:r w:rsidR="007F13BA" w:rsidRPr="003F4923">
        <w:rPr>
          <w:rFonts w:eastAsia="Calibri"/>
          <w:bCs/>
          <w:iCs/>
          <w:vertAlign w:val="subscript"/>
        </w:rPr>
        <w:t>–</w:t>
      </w:r>
      <w:r w:rsidR="007F13BA" w:rsidRPr="003F4923">
        <w:rPr>
          <w:rFonts w:eastAsia="Calibri"/>
          <w:bCs/>
          <w:i/>
          <w:vertAlign w:val="subscript"/>
        </w:rPr>
        <w:t>y</w:t>
      </w:r>
      <w:r>
        <w:rPr>
          <w:rFonts w:eastAsia="MS Mincho"/>
          <w:lang w:eastAsia="ja-JP"/>
        </w:rPr>
        <w:t xml:space="preserve"> </w:t>
      </w:r>
      <w:r w:rsidRPr="003F4923">
        <w:rPr>
          <w:rFonts w:eastAsia="MS Mincho"/>
          <w:lang w:eastAsia="ja-JP"/>
        </w:rPr>
        <w:t xml:space="preserve">со структурой </w:t>
      </w:r>
      <w:proofErr w:type="spellStart"/>
      <w:r w:rsidRPr="003F4923">
        <w:rPr>
          <w:rFonts w:eastAsia="MS Mincho"/>
          <w:lang w:eastAsia="ja-JP"/>
        </w:rPr>
        <w:t>глазерита</w:t>
      </w:r>
      <w:proofErr w:type="spellEnd"/>
      <w:r w:rsidRPr="003F4923">
        <w:rPr>
          <w:rFonts w:eastAsia="MS Mincho"/>
          <w:lang w:eastAsia="ja-JP"/>
        </w:rPr>
        <w:t xml:space="preserve"> </w:t>
      </w:r>
      <w:r>
        <w:rPr>
          <w:bCs/>
          <w:iCs/>
        </w:rPr>
        <w:t>п</w:t>
      </w:r>
      <w:r w:rsidRPr="003F4923">
        <w:rPr>
          <w:bCs/>
          <w:iCs/>
        </w:rPr>
        <w:t>роведены т</w:t>
      </w:r>
      <w:r w:rsidRPr="003F4923">
        <w:rPr>
          <w:rFonts w:eastAsia="MS Mincho"/>
          <w:lang w:eastAsia="ja-JP"/>
        </w:rPr>
        <w:t xml:space="preserve">еоретические расчеты энергии Гиббса растворения </w:t>
      </w:r>
      <w:r w:rsidR="007F13BA" w:rsidRPr="003F4923">
        <w:rPr>
          <w:rFonts w:eastAsia="MS Mincho"/>
          <w:lang w:eastAsia="ja-JP"/>
        </w:rPr>
        <w:t>с использованием термодинамических моделей для энергии и энтропии кристаллической решетки и гидратации</w:t>
      </w:r>
      <w:r w:rsidR="007F13BA">
        <w:rPr>
          <w:rFonts w:eastAsia="MS Mincho"/>
          <w:lang w:eastAsia="ja-JP"/>
        </w:rPr>
        <w:t xml:space="preserve">, </w:t>
      </w:r>
      <w:r>
        <w:rPr>
          <w:rFonts w:eastAsia="MS Mincho"/>
          <w:lang w:eastAsia="ja-JP"/>
        </w:rPr>
        <w:t>которые показали</w:t>
      </w:r>
      <w:r w:rsidR="007F13BA">
        <w:rPr>
          <w:rFonts w:eastAsia="MS Mincho"/>
          <w:lang w:eastAsia="ja-JP"/>
        </w:rPr>
        <w:t>, что</w:t>
      </w:r>
      <w:r w:rsidR="007F13BA" w:rsidRPr="003F4923">
        <w:rPr>
          <w:rFonts w:eastAsia="MS Mincho"/>
          <w:lang w:eastAsia="ja-JP"/>
        </w:rPr>
        <w:t xml:space="preserve"> </w:t>
      </w:r>
      <w:r w:rsidR="007F13BA">
        <w:rPr>
          <w:rFonts w:eastAsia="MS Mincho"/>
          <w:lang w:eastAsia="ja-JP"/>
        </w:rPr>
        <w:t xml:space="preserve">увеличение доли </w:t>
      </w:r>
      <w:r w:rsidR="007F13BA" w:rsidRPr="003F4923">
        <w:rPr>
          <w:rFonts w:eastAsia="MS Mincho"/>
          <w:lang w:eastAsia="ja-JP"/>
        </w:rPr>
        <w:t>Ca</w:t>
      </w:r>
      <w:r w:rsidR="007F13BA" w:rsidRPr="003F4923">
        <w:rPr>
          <w:rFonts w:eastAsia="MS Mincho"/>
          <w:vertAlign w:val="subscript"/>
          <w:lang w:eastAsia="ja-JP"/>
        </w:rPr>
        <w:t>3</w:t>
      </w:r>
      <w:r w:rsidR="007F13BA" w:rsidRPr="003F4923">
        <w:rPr>
          <w:rFonts w:eastAsia="MS Mincho"/>
          <w:lang w:eastAsia="ja-JP"/>
        </w:rPr>
        <w:t>(PO</w:t>
      </w:r>
      <w:r w:rsidR="007F13BA" w:rsidRPr="003F4923">
        <w:rPr>
          <w:rFonts w:eastAsia="MS Mincho"/>
          <w:vertAlign w:val="subscript"/>
          <w:lang w:eastAsia="ja-JP"/>
        </w:rPr>
        <w:t>4</w:t>
      </w:r>
      <w:r w:rsidR="007F13BA" w:rsidRPr="003F4923">
        <w:rPr>
          <w:rFonts w:eastAsia="MS Mincho"/>
          <w:lang w:eastAsia="ja-JP"/>
        </w:rPr>
        <w:t>)</w:t>
      </w:r>
      <w:r w:rsidR="007F13BA" w:rsidRPr="003F4923">
        <w:rPr>
          <w:rFonts w:eastAsia="MS Mincho"/>
          <w:vertAlign w:val="subscript"/>
          <w:lang w:eastAsia="ja-JP"/>
        </w:rPr>
        <w:t>2</w:t>
      </w:r>
      <w:r w:rsidR="007F13BA">
        <w:rPr>
          <w:rFonts w:eastAsia="MS Mincho"/>
          <w:vertAlign w:val="subscript"/>
          <w:lang w:eastAsia="ja-JP"/>
        </w:rPr>
        <w:t xml:space="preserve"> </w:t>
      </w:r>
      <w:r w:rsidR="007F13BA">
        <w:rPr>
          <w:rFonts w:eastAsia="MS Mincho"/>
          <w:lang w:eastAsia="ja-JP"/>
        </w:rPr>
        <w:t xml:space="preserve">в составе повышает растворимость материала. </w:t>
      </w:r>
      <w:r w:rsidRPr="006324BC">
        <w:rPr>
          <w:rFonts w:eastAsia="MS Mincho"/>
          <w:lang w:eastAsia="ja-JP"/>
        </w:rPr>
        <w:t xml:space="preserve">Моделирование ионных равновесий </w:t>
      </w:r>
      <w:r w:rsidR="00323824">
        <w:rPr>
          <w:rFonts w:eastAsia="MS Mincho"/>
          <w:lang w:eastAsia="ja-JP"/>
        </w:rPr>
        <w:t>продемонстрировало</w:t>
      </w:r>
      <w:r w:rsidRPr="006324BC">
        <w:rPr>
          <w:rFonts w:eastAsia="MS Mincho"/>
          <w:lang w:eastAsia="ja-JP"/>
        </w:rPr>
        <w:t>, что тот же самый фактор обеспечивает снижение уровня pH при гидролизе продуктов растворения, приближая его к физиологически приемлемым значениям.</w:t>
      </w:r>
    </w:p>
    <w:p w14:paraId="2172EA45" w14:textId="2F3DFECF" w:rsidR="007F13BA" w:rsidRPr="001B4908" w:rsidRDefault="007F13BA" w:rsidP="00497A0C">
      <w:pPr>
        <w:ind w:firstLine="397"/>
        <w:jc w:val="both"/>
        <w:rPr>
          <w:rFonts w:eastAsia="Calibri"/>
          <w:bCs/>
          <w:iCs/>
        </w:rPr>
      </w:pPr>
      <w:r w:rsidRPr="003F4923">
        <w:rPr>
          <w:rFonts w:eastAsia="MS Mincho"/>
          <w:lang w:eastAsia="ja-JP"/>
        </w:rPr>
        <w:t>Показано, что фазовое расслоение твердых растворов</w:t>
      </w:r>
      <w:r w:rsidRPr="003F4923">
        <w:rPr>
          <w:rFonts w:eastAsia="Calibri"/>
          <w:bCs/>
          <w:iCs/>
        </w:rPr>
        <w:t xml:space="preserve"> Ca</w:t>
      </w:r>
      <w:r w:rsidRPr="003F4923">
        <w:rPr>
          <w:rFonts w:eastAsia="Calibri"/>
          <w:bCs/>
          <w:iCs/>
          <w:vertAlign w:val="subscript"/>
        </w:rPr>
        <w:t>4+</w:t>
      </w:r>
      <w:r w:rsidRPr="003F4923">
        <w:rPr>
          <w:rFonts w:eastAsia="Calibri"/>
          <w:bCs/>
          <w:i/>
          <w:vertAlign w:val="subscript"/>
        </w:rPr>
        <w:t>a</w:t>
      </w:r>
      <w:r w:rsidRPr="003F4923">
        <w:rPr>
          <w:rFonts w:eastAsia="Calibri"/>
          <w:bCs/>
          <w:iCs/>
        </w:rPr>
        <w:t>Na</w:t>
      </w:r>
      <w:r w:rsidRPr="003F4923">
        <w:rPr>
          <w:rFonts w:eastAsia="Calibri"/>
          <w:bCs/>
          <w:iCs/>
          <w:vertAlign w:val="subscript"/>
        </w:rPr>
        <w:t>2</w:t>
      </w:r>
      <w:r w:rsidRPr="003F4923">
        <w:rPr>
          <w:rFonts w:eastAsia="Calibri"/>
          <w:bCs/>
          <w:iCs/>
        </w:rPr>
        <w:t>(PO</w:t>
      </w:r>
      <w:r w:rsidRPr="003F4923">
        <w:rPr>
          <w:rFonts w:eastAsia="Calibri"/>
          <w:bCs/>
          <w:iCs/>
          <w:vertAlign w:val="subscript"/>
        </w:rPr>
        <w:t>4</w:t>
      </w:r>
      <w:r w:rsidRPr="003F4923">
        <w:rPr>
          <w:rFonts w:eastAsia="Calibri"/>
          <w:bCs/>
          <w:iCs/>
        </w:rPr>
        <w:t>)</w:t>
      </w:r>
      <w:r w:rsidRPr="003F4923">
        <w:rPr>
          <w:rFonts w:eastAsia="Calibri"/>
          <w:bCs/>
          <w:iCs/>
          <w:vertAlign w:val="subscript"/>
        </w:rPr>
        <w:t>2+2</w:t>
      </w:r>
      <w:r w:rsidRPr="003F4923">
        <w:rPr>
          <w:rFonts w:eastAsia="Calibri"/>
          <w:bCs/>
          <w:i/>
          <w:vertAlign w:val="subscript"/>
        </w:rPr>
        <w:t>a</w:t>
      </w:r>
      <w:r w:rsidRPr="003F4923">
        <w:rPr>
          <w:rFonts w:eastAsia="Calibri"/>
          <w:bCs/>
          <w:iCs/>
        </w:rPr>
        <w:t>(SiO</w:t>
      </w:r>
      <w:r w:rsidRPr="003F4923">
        <w:rPr>
          <w:rFonts w:eastAsia="Calibri"/>
          <w:bCs/>
          <w:iCs/>
          <w:vertAlign w:val="subscript"/>
        </w:rPr>
        <w:t>4</w:t>
      </w:r>
      <w:r w:rsidRPr="003F4923">
        <w:rPr>
          <w:rFonts w:eastAsia="Calibri"/>
          <w:bCs/>
          <w:iCs/>
        </w:rPr>
        <w:t>)</w:t>
      </w:r>
      <w:r w:rsidRPr="003F4923">
        <w:rPr>
          <w:rFonts w:eastAsia="Calibri"/>
          <w:bCs/>
          <w:iCs/>
          <w:vertAlign w:val="subscript"/>
        </w:rPr>
        <w:t>1–</w:t>
      </w:r>
      <w:r w:rsidRPr="003F4923">
        <w:rPr>
          <w:rFonts w:eastAsia="Calibri"/>
          <w:bCs/>
          <w:i/>
          <w:vertAlign w:val="subscript"/>
        </w:rPr>
        <w:t>a</w:t>
      </w:r>
      <w:r w:rsidRPr="003F4923">
        <w:rPr>
          <w:rFonts w:eastAsia="Calibri"/>
          <w:bCs/>
          <w:iCs/>
        </w:rPr>
        <w:t xml:space="preserve"> (</w:t>
      </w:r>
      <w:r w:rsidRPr="003F4923">
        <w:rPr>
          <w:rFonts w:eastAsia="Calibri"/>
          <w:bCs/>
          <w:i/>
        </w:rPr>
        <w:t>a</w:t>
      </w:r>
      <w:r w:rsidRPr="003F4923">
        <w:rPr>
          <w:rFonts w:eastAsia="Calibri"/>
          <w:bCs/>
          <w:iCs/>
        </w:rPr>
        <w:t xml:space="preserve"> = 0.33, 0.66) и Ca</w:t>
      </w:r>
      <w:r w:rsidRPr="003F4923">
        <w:rPr>
          <w:rFonts w:eastAsia="Calibri"/>
          <w:bCs/>
          <w:iCs/>
          <w:vertAlign w:val="subscript"/>
        </w:rPr>
        <w:t>4+4</w:t>
      </w:r>
      <w:r w:rsidRPr="003F4923">
        <w:rPr>
          <w:rFonts w:eastAsia="Calibri"/>
          <w:bCs/>
          <w:i/>
          <w:vertAlign w:val="subscript"/>
        </w:rPr>
        <w:t>b</w:t>
      </w:r>
      <w:r w:rsidRPr="003F4923">
        <w:rPr>
          <w:rFonts w:eastAsia="Calibri"/>
          <w:bCs/>
          <w:iCs/>
        </w:rPr>
        <w:t>Na</w:t>
      </w:r>
      <w:r w:rsidRPr="003F4923">
        <w:rPr>
          <w:rFonts w:eastAsia="Calibri"/>
          <w:bCs/>
          <w:iCs/>
          <w:vertAlign w:val="subscript"/>
        </w:rPr>
        <w:t>2–2</w:t>
      </w:r>
      <w:r w:rsidRPr="003F4923">
        <w:rPr>
          <w:rFonts w:eastAsia="Calibri"/>
          <w:bCs/>
          <w:i/>
          <w:vertAlign w:val="subscript"/>
        </w:rPr>
        <w:t>b</w:t>
      </w:r>
      <w:r w:rsidRPr="003F4923">
        <w:rPr>
          <w:rFonts w:eastAsia="Calibri"/>
          <w:bCs/>
          <w:iCs/>
        </w:rPr>
        <w:t>(PO</w:t>
      </w:r>
      <w:r w:rsidRPr="003F4923">
        <w:rPr>
          <w:rFonts w:eastAsia="Calibri"/>
          <w:bCs/>
          <w:iCs/>
          <w:vertAlign w:val="subscript"/>
        </w:rPr>
        <w:t>4</w:t>
      </w:r>
      <w:r w:rsidRPr="003F4923">
        <w:rPr>
          <w:rFonts w:eastAsia="Calibri"/>
          <w:bCs/>
          <w:iCs/>
        </w:rPr>
        <w:t>)</w:t>
      </w:r>
      <w:r w:rsidRPr="003F4923">
        <w:rPr>
          <w:rFonts w:eastAsia="Calibri"/>
          <w:bCs/>
          <w:iCs/>
          <w:vertAlign w:val="subscript"/>
        </w:rPr>
        <w:t>2+2</w:t>
      </w:r>
      <w:r w:rsidRPr="003F4923">
        <w:rPr>
          <w:rFonts w:eastAsia="Calibri"/>
          <w:bCs/>
          <w:i/>
          <w:vertAlign w:val="subscript"/>
        </w:rPr>
        <w:t>b</w:t>
      </w:r>
      <w:r w:rsidRPr="003F4923">
        <w:rPr>
          <w:rFonts w:eastAsia="Calibri"/>
          <w:bCs/>
          <w:iCs/>
        </w:rPr>
        <w:t>SiO</w:t>
      </w:r>
      <w:r w:rsidRPr="003F4923">
        <w:rPr>
          <w:rFonts w:eastAsia="Calibri"/>
          <w:bCs/>
          <w:iCs/>
          <w:vertAlign w:val="subscript"/>
        </w:rPr>
        <w:t>4</w:t>
      </w:r>
      <w:r w:rsidRPr="003F4923">
        <w:rPr>
          <w:rFonts w:eastAsia="Calibri"/>
          <w:bCs/>
          <w:iCs/>
        </w:rPr>
        <w:t xml:space="preserve"> (</w:t>
      </w:r>
      <w:r w:rsidRPr="003F4923">
        <w:rPr>
          <w:rFonts w:eastAsia="Calibri"/>
          <w:bCs/>
          <w:i/>
        </w:rPr>
        <w:t>b</w:t>
      </w:r>
      <w:r w:rsidRPr="003F4923">
        <w:rPr>
          <w:rFonts w:eastAsia="Calibri"/>
          <w:bCs/>
          <w:iCs/>
        </w:rPr>
        <w:t xml:space="preserve"> = 0.25, 0.5, 0.75</w:t>
      </w:r>
      <w:r>
        <w:rPr>
          <w:rFonts w:eastAsia="Calibri"/>
          <w:bCs/>
          <w:iCs/>
        </w:rPr>
        <w:t xml:space="preserve">) </w:t>
      </w:r>
      <w:r w:rsidRPr="003F4923">
        <w:rPr>
          <w:rFonts w:eastAsia="Calibri"/>
          <w:bCs/>
          <w:iCs/>
        </w:rPr>
        <w:t xml:space="preserve">происходит ниже температуры ~620 ºC. </w:t>
      </w:r>
      <w:r w:rsidR="00323824">
        <w:rPr>
          <w:rFonts w:eastAsia="Calibri"/>
          <w:bCs/>
          <w:iCs/>
        </w:rPr>
        <w:t xml:space="preserve">Так, </w:t>
      </w:r>
      <w:r w:rsidR="00323824" w:rsidRPr="00323824">
        <w:rPr>
          <w:rFonts w:eastAsia="Calibri"/>
          <w:bCs/>
          <w:iCs/>
        </w:rPr>
        <w:t xml:space="preserve">закалка образцов данных составов от 1500 °C обеспечивает стабилизацию однофазных соединений, кристаллизующихся в структурном типе высокотемпературного </w:t>
      </w:r>
      <w:proofErr w:type="spellStart"/>
      <w:r w:rsidR="00323824" w:rsidRPr="00323824">
        <w:rPr>
          <w:rFonts w:eastAsia="Calibri"/>
          <w:bCs/>
          <w:iCs/>
        </w:rPr>
        <w:t>нагельшмидтита</w:t>
      </w:r>
      <w:proofErr w:type="spellEnd"/>
      <w:r w:rsidR="00323824" w:rsidRPr="00323824">
        <w:rPr>
          <w:rFonts w:eastAsia="Calibri"/>
          <w:bCs/>
          <w:iCs/>
        </w:rPr>
        <w:t>.</w:t>
      </w:r>
      <w:r w:rsidR="00323824">
        <w:rPr>
          <w:rFonts w:eastAsia="Calibri"/>
          <w:bCs/>
          <w:iCs/>
        </w:rPr>
        <w:t xml:space="preserve"> </w:t>
      </w:r>
      <w:proofErr w:type="spellStart"/>
      <w:r w:rsidRPr="003F4923">
        <w:rPr>
          <w:rFonts w:eastAsia="MS Mincho"/>
          <w:lang w:eastAsia="ja-JP"/>
        </w:rPr>
        <w:t>Термодилатометрические</w:t>
      </w:r>
      <w:proofErr w:type="spellEnd"/>
      <w:r w:rsidRPr="003F4923">
        <w:rPr>
          <w:rFonts w:eastAsia="MS Mincho"/>
          <w:lang w:eastAsia="ja-JP"/>
        </w:rPr>
        <w:t xml:space="preserve"> испытания показали, что уплотнение образцов керамики </w:t>
      </w:r>
      <w:r>
        <w:rPr>
          <w:rFonts w:eastAsia="MS Mincho"/>
          <w:lang w:eastAsia="ja-JP"/>
        </w:rPr>
        <w:t xml:space="preserve">указанных </w:t>
      </w:r>
      <w:r w:rsidRPr="003F4923">
        <w:rPr>
          <w:rFonts w:eastAsia="MS Mincho"/>
          <w:lang w:eastAsia="ja-JP"/>
        </w:rPr>
        <w:t>составов начинается в интервале 900–1000 ºC и</w:t>
      </w:r>
      <w:r w:rsidRPr="003F4923">
        <w:rPr>
          <w:rFonts w:eastAsia="Calibri"/>
          <w:bCs/>
          <w:iCs/>
        </w:rPr>
        <w:t xml:space="preserve"> </w:t>
      </w:r>
      <w:r w:rsidRPr="003F4923">
        <w:rPr>
          <w:rFonts w:eastAsia="MS Mincho"/>
          <w:lang w:eastAsia="ja-JP"/>
        </w:rPr>
        <w:t xml:space="preserve">сопровождается линейной усадкой 8–15%. Для достижения значительного уплотнения (&gt;8%) требуется спекание при температурах не ниже 1400 °C. </w:t>
      </w:r>
      <w:r w:rsidR="00323824" w:rsidRPr="00323824">
        <w:rPr>
          <w:rFonts w:eastAsia="MS Mincho"/>
          <w:lang w:eastAsia="ja-JP"/>
        </w:rPr>
        <w:t>Формирование керамических образцов модельной геометрии на основе высокотемпературных твердых растворов (</w:t>
      </w:r>
      <w:proofErr w:type="spellStart"/>
      <w:r w:rsidR="00323824" w:rsidRPr="00323824">
        <w:rPr>
          <w:rFonts w:eastAsia="MS Mincho"/>
          <w:lang w:eastAsia="ja-JP"/>
        </w:rPr>
        <w:t>нагельшмидтит</w:t>
      </w:r>
      <w:proofErr w:type="spellEnd"/>
      <w:r w:rsidR="00323824" w:rsidRPr="00323824">
        <w:rPr>
          <w:rFonts w:eastAsia="MS Mincho"/>
          <w:lang w:eastAsia="ja-JP"/>
        </w:rPr>
        <w:t xml:space="preserve"> и карнотит) осуществлялось посредством обжига при 1400 °C (12 часов) и последующей закалки из температурного интервала 1300–1500 °C</w:t>
      </w:r>
      <w:r w:rsidRPr="003F4923">
        <w:rPr>
          <w:rFonts w:eastAsia="MS Mincho"/>
          <w:lang w:eastAsia="ja-JP"/>
        </w:rPr>
        <w:t>.</w:t>
      </w:r>
    </w:p>
    <w:p w14:paraId="55C01440" w14:textId="3ABC099B" w:rsidR="006324BC" w:rsidRPr="006324BC" w:rsidRDefault="00323824" w:rsidP="00497A0C">
      <w:pPr>
        <w:ind w:firstLine="397"/>
        <w:jc w:val="both"/>
        <w:rPr>
          <w:rFonts w:eastAsia="MS Mincho"/>
          <w:lang w:eastAsia="ja-JP"/>
        </w:rPr>
      </w:pPr>
      <w:r w:rsidRPr="00323824">
        <w:rPr>
          <w:rFonts w:eastAsia="MS Mincho"/>
          <w:lang w:eastAsia="ja-JP"/>
        </w:rPr>
        <w:t xml:space="preserve">Для закаленных образцов на основе </w:t>
      </w:r>
      <w:proofErr w:type="spellStart"/>
      <w:r w:rsidRPr="00323824">
        <w:rPr>
          <w:rFonts w:eastAsia="MS Mincho"/>
          <w:lang w:eastAsia="ja-JP"/>
        </w:rPr>
        <w:t>нагельшмидтита</w:t>
      </w:r>
      <w:proofErr w:type="spellEnd"/>
      <w:r w:rsidRPr="00323824">
        <w:rPr>
          <w:rFonts w:eastAsia="MS Mincho"/>
          <w:lang w:eastAsia="ja-JP"/>
        </w:rPr>
        <w:t xml:space="preserve"> и карнотита отмечена улучшенная динамика растворения в модельной физиологической среде (лимонная кислота, pH = 5). Установлено, что повышение доли трикальцийфосфата способствует снижению значения pH, приближая его к физиологическому диапазону (7.35–7.45). Оценка острой цитотоксичности показала, что наибольшая выживаемость фибробластов характерна для составов с повышенным содержанием фосфата кальция, что, вероятно, обусловлено более благоприятным </w:t>
      </w:r>
      <w:r>
        <w:rPr>
          <w:rFonts w:eastAsia="MS Mincho"/>
          <w:lang w:eastAsia="ja-JP"/>
        </w:rPr>
        <w:t>значением</w:t>
      </w:r>
      <w:r w:rsidRPr="00323824">
        <w:rPr>
          <w:rFonts w:eastAsia="MS Mincho"/>
          <w:lang w:eastAsia="ja-JP"/>
        </w:rPr>
        <w:t xml:space="preserve"> pH, формирующимся при гидролизе продуктов растворения</w:t>
      </w:r>
      <w:r>
        <w:rPr>
          <w:rFonts w:eastAsia="MS Mincho"/>
          <w:lang w:eastAsia="ja-JP"/>
        </w:rPr>
        <w:t>.</w:t>
      </w:r>
    </w:p>
    <w:p w14:paraId="3486C755" w14:textId="764336D1" w:rsidR="00116478" w:rsidRDefault="007F13BA" w:rsidP="00497A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MS Mincho"/>
          <w:bCs/>
          <w:i/>
          <w:lang w:eastAsia="ja-JP"/>
        </w:rPr>
      </w:pPr>
      <w:r>
        <w:rPr>
          <w:bCs/>
          <w:i/>
        </w:rPr>
        <w:t>Работа выполнена при финансовой поддержке</w:t>
      </w:r>
      <w:r w:rsidRPr="00C92A07">
        <w:rPr>
          <w:bCs/>
          <w:iCs/>
        </w:rPr>
        <w:t xml:space="preserve"> </w:t>
      </w:r>
      <w:r w:rsidRPr="00294561">
        <w:rPr>
          <w:bCs/>
          <w:i/>
        </w:rPr>
        <w:t>гранта</w:t>
      </w:r>
      <w:r w:rsidRPr="00294561">
        <w:rPr>
          <w:bCs/>
          <w:iCs/>
        </w:rPr>
        <w:t xml:space="preserve"> </w:t>
      </w:r>
      <w:r w:rsidRPr="00294561">
        <w:rPr>
          <w:bCs/>
          <w:i/>
        </w:rPr>
        <w:t>РНФ</w:t>
      </w:r>
      <w:r>
        <w:rPr>
          <w:b/>
          <w:i/>
        </w:rPr>
        <w:t xml:space="preserve"> </w:t>
      </w:r>
      <w:r w:rsidRPr="007F13BA">
        <w:rPr>
          <w:rFonts w:eastAsia="MS Mincho"/>
          <w:bCs/>
          <w:i/>
          <w:lang w:eastAsia="ja-JP"/>
        </w:rPr>
        <w:t>22-19-00219-П</w:t>
      </w:r>
    </w:p>
    <w:sectPr w:rsidR="00116478" w:rsidSect="007F13B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04AE"/>
    <w:rsid w:val="00063966"/>
    <w:rsid w:val="00075D6E"/>
    <w:rsid w:val="00086081"/>
    <w:rsid w:val="00093E29"/>
    <w:rsid w:val="0009449A"/>
    <w:rsid w:val="00094FD0"/>
    <w:rsid w:val="000E334E"/>
    <w:rsid w:val="000F2C1F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1C2F"/>
    <w:rsid w:val="002B1CD0"/>
    <w:rsid w:val="002C4A96"/>
    <w:rsid w:val="0031361E"/>
    <w:rsid w:val="00323824"/>
    <w:rsid w:val="00344930"/>
    <w:rsid w:val="00367A4E"/>
    <w:rsid w:val="00373E2D"/>
    <w:rsid w:val="00391C38"/>
    <w:rsid w:val="003B76D6"/>
    <w:rsid w:val="003D09AD"/>
    <w:rsid w:val="003E2601"/>
    <w:rsid w:val="003F3968"/>
    <w:rsid w:val="003F4E6B"/>
    <w:rsid w:val="00497A0C"/>
    <w:rsid w:val="004A26A3"/>
    <w:rsid w:val="004F0EDF"/>
    <w:rsid w:val="005009F5"/>
    <w:rsid w:val="00522BF1"/>
    <w:rsid w:val="00590166"/>
    <w:rsid w:val="005B07E6"/>
    <w:rsid w:val="005D022B"/>
    <w:rsid w:val="005E5BE9"/>
    <w:rsid w:val="005F4D20"/>
    <w:rsid w:val="006324BC"/>
    <w:rsid w:val="00665279"/>
    <w:rsid w:val="0069427D"/>
    <w:rsid w:val="006F7331"/>
    <w:rsid w:val="006F7A19"/>
    <w:rsid w:val="00705378"/>
    <w:rsid w:val="007213E1"/>
    <w:rsid w:val="00775389"/>
    <w:rsid w:val="00797838"/>
    <w:rsid w:val="007C36D8"/>
    <w:rsid w:val="007F13BA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C33FF"/>
    <w:rsid w:val="00AD7380"/>
    <w:rsid w:val="00B11DA6"/>
    <w:rsid w:val="00BF36F8"/>
    <w:rsid w:val="00BF4622"/>
    <w:rsid w:val="00C36346"/>
    <w:rsid w:val="00C80491"/>
    <w:rsid w:val="00C844E2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F352B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a"/>
    <w:rsid w:val="007F13B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slavskaya.da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5</cp:revision>
  <cp:lastPrinted>2026-01-28T14:24:00Z</cp:lastPrinted>
  <dcterms:created xsi:type="dcterms:W3CDTF">2026-03-23T22:44:00Z</dcterms:created>
  <dcterms:modified xsi:type="dcterms:W3CDTF">2026-03-23T22:45:00Z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