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47F5" w14:textId="77777777" w:rsidR="00B26679" w:rsidRDefault="00000000" w:rsidP="00B26679">
      <w:pPr>
        <w:spacing w:line="240" w:lineRule="auto"/>
        <w:ind w:right="0" w:firstLine="0"/>
        <w:jc w:val="center"/>
        <w:rPr>
          <w:b/>
          <w:lang w:val="en-US"/>
        </w:rPr>
      </w:pPr>
      <w:r w:rsidRPr="00523879">
        <w:rPr>
          <w:b/>
          <w:lang w:val="en-US"/>
        </w:rPr>
        <w:t>Investigation of novel triphenylamine hole transport wide-bandgap perovskite solar cells</w:t>
      </w:r>
    </w:p>
    <w:p w14:paraId="56AB9F27" w14:textId="478A9954" w:rsidR="00B26679" w:rsidRPr="00B26679" w:rsidRDefault="00000000" w:rsidP="00B26679">
      <w:pPr>
        <w:spacing w:line="240" w:lineRule="auto"/>
        <w:ind w:right="0" w:firstLine="0"/>
        <w:jc w:val="center"/>
        <w:rPr>
          <w:b/>
          <w:i/>
          <w:vertAlign w:val="superscript"/>
          <w:lang w:val="en-US"/>
        </w:rPr>
      </w:pPr>
      <w:r w:rsidRPr="00B26679">
        <w:rPr>
          <w:b/>
          <w:i/>
          <w:lang w:val="en-US"/>
        </w:rPr>
        <w:t>Zhukov I.A.</w:t>
      </w:r>
      <w:r w:rsidRPr="00B26679">
        <w:rPr>
          <w:b/>
          <w:i/>
          <w:vertAlign w:val="superscript"/>
          <w:lang w:val="en-US"/>
        </w:rPr>
        <w:t>1</w:t>
      </w:r>
      <w:r w:rsidRPr="00B26679">
        <w:rPr>
          <w:b/>
          <w:i/>
          <w:lang w:val="en-US"/>
        </w:rPr>
        <w:t xml:space="preserve">, </w:t>
      </w:r>
      <w:proofErr w:type="spellStart"/>
      <w:r w:rsidRPr="00B26679">
        <w:rPr>
          <w:b/>
          <w:i/>
          <w:lang w:val="en-US"/>
        </w:rPr>
        <w:t>Akkuratov</w:t>
      </w:r>
      <w:proofErr w:type="spellEnd"/>
      <w:r w:rsidRPr="00B26679">
        <w:rPr>
          <w:b/>
          <w:i/>
          <w:lang w:val="en-US"/>
        </w:rPr>
        <w:t xml:space="preserve"> A.V.</w:t>
      </w:r>
      <w:r w:rsidRPr="00B26679">
        <w:rPr>
          <w:b/>
          <w:i/>
          <w:vertAlign w:val="superscript"/>
          <w:lang w:val="en-US"/>
        </w:rPr>
        <w:t>2</w:t>
      </w:r>
      <w:r w:rsidRPr="00B26679">
        <w:rPr>
          <w:b/>
          <w:i/>
          <w:lang w:val="en-US"/>
        </w:rPr>
        <w:t xml:space="preserve">, </w:t>
      </w:r>
      <w:proofErr w:type="spellStart"/>
      <w:r w:rsidRPr="00B26679">
        <w:rPr>
          <w:b/>
          <w:i/>
          <w:lang w:val="en-US"/>
        </w:rPr>
        <w:t>Luchkin</w:t>
      </w:r>
      <w:proofErr w:type="spellEnd"/>
      <w:r w:rsidRPr="00B26679">
        <w:rPr>
          <w:b/>
          <w:i/>
          <w:lang w:val="en-US"/>
        </w:rPr>
        <w:t xml:space="preserve"> S.Y.</w:t>
      </w:r>
      <w:r w:rsidRPr="00B26679">
        <w:rPr>
          <w:b/>
          <w:i/>
          <w:vertAlign w:val="superscript"/>
          <w:lang w:val="en-US"/>
        </w:rPr>
        <w:t xml:space="preserve"> 1</w:t>
      </w:r>
      <w:r w:rsidRPr="00B26679">
        <w:rPr>
          <w:b/>
          <w:i/>
          <w:lang w:val="en-US"/>
        </w:rPr>
        <w:t xml:space="preserve">, </w:t>
      </w:r>
      <w:proofErr w:type="spellStart"/>
      <w:r w:rsidRPr="00B26679">
        <w:rPr>
          <w:b/>
          <w:i/>
          <w:lang w:val="en-US"/>
        </w:rPr>
        <w:t>Tepliakova</w:t>
      </w:r>
      <w:proofErr w:type="spellEnd"/>
      <w:r w:rsidRPr="00B26679">
        <w:rPr>
          <w:b/>
          <w:i/>
          <w:lang w:val="en-US"/>
        </w:rPr>
        <w:t xml:space="preserve"> M.M.</w:t>
      </w:r>
      <w:r w:rsidRPr="00B26679">
        <w:rPr>
          <w:b/>
          <w:i/>
          <w:vertAlign w:val="superscript"/>
          <w:lang w:val="en-US"/>
        </w:rPr>
        <w:t xml:space="preserve"> 1</w:t>
      </w:r>
    </w:p>
    <w:p w14:paraId="59AC04D6" w14:textId="77777777" w:rsidR="00B26679" w:rsidRDefault="00000000" w:rsidP="00B26679">
      <w:pPr>
        <w:spacing w:line="240" w:lineRule="auto"/>
        <w:ind w:right="0" w:firstLine="0"/>
        <w:jc w:val="center"/>
        <w:rPr>
          <w:i/>
          <w:lang w:val="en-US"/>
        </w:rPr>
      </w:pPr>
      <w:r w:rsidRPr="00523879">
        <w:rPr>
          <w:i/>
          <w:lang w:val="en-US"/>
        </w:rPr>
        <w:t>Student, 1st year master's degree program</w:t>
      </w:r>
    </w:p>
    <w:p w14:paraId="197219C9" w14:textId="77777777" w:rsidR="00B26679" w:rsidRDefault="00000000" w:rsidP="00B26679">
      <w:pPr>
        <w:spacing w:line="240" w:lineRule="auto"/>
        <w:ind w:right="0" w:firstLine="0"/>
        <w:jc w:val="center"/>
        <w:rPr>
          <w:i/>
          <w:lang w:val="en-US"/>
        </w:rPr>
      </w:pPr>
      <w:r w:rsidRPr="00523879">
        <w:rPr>
          <w:i/>
          <w:vertAlign w:val="superscript"/>
          <w:lang w:val="en-US"/>
        </w:rPr>
        <w:t>1</w:t>
      </w:r>
      <w:r w:rsidRPr="00523879">
        <w:rPr>
          <w:i/>
          <w:lang w:val="en-US"/>
        </w:rPr>
        <w:t>Skolkovo Institute of Science and Technology, Moscow, Russia</w:t>
      </w:r>
    </w:p>
    <w:p w14:paraId="64181D12" w14:textId="77777777" w:rsidR="00B26679" w:rsidRDefault="00000000">
      <w:pPr>
        <w:spacing w:after="5" w:line="269" w:lineRule="auto"/>
        <w:ind w:left="10" w:right="0" w:hanging="10"/>
        <w:jc w:val="center"/>
        <w:rPr>
          <w:i/>
          <w:lang w:val="en-US"/>
        </w:rPr>
      </w:pPr>
      <w:r w:rsidRPr="00523879">
        <w:rPr>
          <w:i/>
          <w:vertAlign w:val="superscript"/>
          <w:lang w:val="en-US"/>
        </w:rPr>
        <w:t>2</w:t>
      </w:r>
      <w:r w:rsidRPr="00523879">
        <w:rPr>
          <w:i/>
          <w:lang w:val="en-US"/>
        </w:rPr>
        <w:t xml:space="preserve">Federal Research Center for Problems of Chemical Physics and Medicinal Chemistry RAS, </w:t>
      </w:r>
      <w:proofErr w:type="spellStart"/>
      <w:r w:rsidRPr="00523879">
        <w:rPr>
          <w:i/>
          <w:lang w:val="en-US"/>
        </w:rPr>
        <w:t>Chernogolovka</w:t>
      </w:r>
      <w:proofErr w:type="spellEnd"/>
      <w:r w:rsidRPr="00523879">
        <w:rPr>
          <w:i/>
          <w:lang w:val="en-US"/>
        </w:rPr>
        <w:t>, Russia</w:t>
      </w:r>
    </w:p>
    <w:p w14:paraId="5CFBD26A" w14:textId="77777777" w:rsidR="00B26679" w:rsidRPr="00AA01BB" w:rsidRDefault="00000000" w:rsidP="00AA01BB">
      <w:pPr>
        <w:spacing w:line="240" w:lineRule="auto"/>
        <w:ind w:right="0" w:firstLine="0"/>
        <w:jc w:val="center"/>
        <w:rPr>
          <w:color w:val="000000" w:themeColor="text1"/>
          <w:lang w:val="it-IT"/>
        </w:rPr>
      </w:pPr>
      <w:r w:rsidRPr="00523879">
        <w:rPr>
          <w:i/>
          <w:lang w:val="it-IT"/>
        </w:rPr>
        <w:t xml:space="preserve">E-mail: </w:t>
      </w:r>
      <w:r w:rsidRPr="00523879">
        <w:rPr>
          <w:i/>
          <w:u w:val="single" w:color="000000"/>
          <w:lang w:val="it-IT"/>
        </w:rPr>
        <w:t>Ivan.Zhukov@sko</w:t>
      </w:r>
      <w:r w:rsidRPr="00AA01BB">
        <w:rPr>
          <w:i/>
          <w:color w:val="000000" w:themeColor="text1"/>
          <w:u w:val="single" w:color="000000"/>
          <w:lang w:val="it-IT"/>
        </w:rPr>
        <w:t>ltech.ru</w:t>
      </w:r>
    </w:p>
    <w:p w14:paraId="4C68B595" w14:textId="2045DF33" w:rsidR="00B26679" w:rsidRDefault="00AA01BB" w:rsidP="00B26679">
      <w:pPr>
        <w:spacing w:line="240" w:lineRule="auto"/>
        <w:ind w:right="0" w:firstLine="397"/>
        <w:rPr>
          <w:lang w:val="en-US"/>
        </w:rPr>
      </w:pPr>
      <w:r w:rsidRPr="00AA01BB">
        <w:rPr>
          <w:noProof/>
          <w:color w:val="000000" w:themeColor="text1"/>
        </w:rPr>
        <w:drawing>
          <wp:anchor distT="0" distB="0" distL="0" distR="0" simplePos="0" relativeHeight="251659264" behindDoc="0" locked="0" layoutInCell="1" allowOverlap="1" wp14:anchorId="1F7D3B29" wp14:editId="176FBBC3">
            <wp:simplePos x="0" y="0"/>
            <wp:positionH relativeFrom="margin">
              <wp:posOffset>1182370</wp:posOffset>
            </wp:positionH>
            <wp:positionV relativeFrom="paragraph">
              <wp:posOffset>2119299</wp:posOffset>
            </wp:positionV>
            <wp:extent cx="3459480" cy="1731010"/>
            <wp:effectExtent l="0" t="0" r="7620" b="2540"/>
            <wp:wrapTopAndBottom/>
            <wp:docPr id="395" name="Picture 395" descr="Изображение выглядит как зарисовка, диаграмм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395" name="Picture 395" descr="Изображение выглядит как зарисовка, диаграмма&#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3459480" cy="1731010"/>
                    </a:xfrm>
                    <a:prstGeom prst="rect">
                      <a:avLst/>
                    </a:prstGeom>
                  </pic:spPr>
                </pic:pic>
              </a:graphicData>
            </a:graphic>
          </wp:anchor>
        </w:drawing>
      </w:r>
      <w:r w:rsidR="00000000" w:rsidRPr="00AA01BB">
        <w:rPr>
          <w:color w:val="000000" w:themeColor="text1"/>
          <w:lang w:val="en-US"/>
        </w:rPr>
        <w:t>Wide-bandgap perovskite solar cells</w:t>
      </w:r>
      <w:r w:rsidR="00000000" w:rsidRPr="00523879">
        <w:rPr>
          <w:lang w:val="en-US"/>
        </w:rPr>
        <w:t xml:space="preserve"> (</w:t>
      </w:r>
      <w:proofErr w:type="spellStart"/>
      <w:r w:rsidR="00000000" w:rsidRPr="00523879">
        <w:rPr>
          <w:lang w:val="en-US"/>
        </w:rPr>
        <w:t>wPSCs</w:t>
      </w:r>
      <w:proofErr w:type="spellEnd"/>
      <w:r w:rsidR="00000000" w:rsidRPr="00523879">
        <w:rPr>
          <w:lang w:val="en-US"/>
        </w:rPr>
        <w:t>) with bandgap E</w:t>
      </w:r>
      <w:r w:rsidR="00000000" w:rsidRPr="00523879">
        <w:rPr>
          <w:vertAlign w:val="subscript"/>
          <w:lang w:val="en-US"/>
        </w:rPr>
        <w:t>g</w:t>
      </w:r>
      <w:r w:rsidR="00000000" w:rsidRPr="00523879">
        <w:rPr>
          <w:lang w:val="en-US"/>
        </w:rPr>
        <w:t>&gt;1.8 eV are gaining popularity due to possible application in tandem solar cells with improved efficiency. Mostly photovoltaic devices with wide-bandgap perovskites comprise the same hole transport material (HTM) as devices with standard perovskite CH</w:t>
      </w:r>
      <w:r w:rsidR="00000000" w:rsidRPr="00523879">
        <w:rPr>
          <w:vertAlign w:val="subscript"/>
          <w:lang w:val="en-US"/>
        </w:rPr>
        <w:t>3</w:t>
      </w:r>
      <w:r w:rsidR="00000000" w:rsidRPr="00523879">
        <w:rPr>
          <w:lang w:val="en-US"/>
        </w:rPr>
        <w:t>NH</w:t>
      </w:r>
      <w:r w:rsidR="00000000" w:rsidRPr="00523879">
        <w:rPr>
          <w:vertAlign w:val="subscript"/>
          <w:lang w:val="en-US"/>
        </w:rPr>
        <w:t>3</w:t>
      </w:r>
      <w:r w:rsidR="00000000" w:rsidRPr="00523879">
        <w:rPr>
          <w:lang w:val="en-US"/>
        </w:rPr>
        <w:t>PbI</w:t>
      </w:r>
      <w:r w:rsidR="00000000" w:rsidRPr="00523879">
        <w:rPr>
          <w:vertAlign w:val="subscript"/>
          <w:lang w:val="en-US"/>
        </w:rPr>
        <w:t>3</w:t>
      </w:r>
      <w:r w:rsidR="00000000" w:rsidRPr="00523879">
        <w:rPr>
          <w:lang w:val="en-US"/>
        </w:rPr>
        <w:t xml:space="preserve"> (E</w:t>
      </w:r>
      <w:r w:rsidR="00000000" w:rsidRPr="00523879">
        <w:rPr>
          <w:vertAlign w:val="subscript"/>
          <w:lang w:val="en-US"/>
        </w:rPr>
        <w:t>g</w:t>
      </w:r>
      <w:r w:rsidR="00000000" w:rsidRPr="00523879">
        <w:rPr>
          <w:lang w:val="en-US"/>
        </w:rPr>
        <w:t xml:space="preserve"> = 1.4 eV) [1]. This results in a mismatch between the highest occupied molecular orbital (HOMO) energy level of the HTM and the perovskite, which leads to energy losses during charge transfer and entails a significant reduction in device efficiency. Therefore, there is an urgent need for the design of HTMs possessing deeper lying HOMO energy level enabling alignment with wide bandgap perovskites. In this work, we investigated novel triphenylamine based HTMs 5,5',5''-(nitrilotris(benzene-4,1diyl))tris(thiophene-2-carbaldehyde) (TPA-TCO) and 2,4,6-trimethyl-N,N-bis(4-(5'(triisopropylsilyl)-[2,2'-bithiophen]-5-yl)phenyl)aniline (</w:t>
      </w:r>
      <w:proofErr w:type="spellStart"/>
      <w:r w:rsidR="00000000" w:rsidRPr="00523879">
        <w:rPr>
          <w:lang w:val="en-US"/>
        </w:rPr>
        <w:t>DPMes</w:t>
      </w:r>
      <w:proofErr w:type="spellEnd"/>
      <w:r w:rsidR="00000000" w:rsidRPr="00523879">
        <w:rPr>
          <w:lang w:val="en-US"/>
        </w:rPr>
        <w:t xml:space="preserve">-TT) with a promising </w:t>
      </w:r>
      <w:proofErr w:type="spellStart"/>
      <w:r w:rsidR="00000000" w:rsidRPr="00523879">
        <w:rPr>
          <w:lang w:val="en-US"/>
        </w:rPr>
        <w:t>widebandgap</w:t>
      </w:r>
      <w:proofErr w:type="spellEnd"/>
      <w:r w:rsidR="00000000" w:rsidRPr="00523879">
        <w:rPr>
          <w:lang w:val="en-US"/>
        </w:rPr>
        <w:t xml:space="preserve"> perovskite Cs</w:t>
      </w:r>
      <w:r w:rsidR="00000000" w:rsidRPr="00523879">
        <w:rPr>
          <w:vertAlign w:val="subscript"/>
          <w:lang w:val="en-US"/>
        </w:rPr>
        <w:t>0.05</w:t>
      </w:r>
      <w:r w:rsidR="00000000" w:rsidRPr="00523879">
        <w:rPr>
          <w:lang w:val="en-US"/>
        </w:rPr>
        <w:t>(CH</w:t>
      </w:r>
      <w:r w:rsidR="00000000" w:rsidRPr="00523879">
        <w:rPr>
          <w:vertAlign w:val="subscript"/>
          <w:lang w:val="en-US"/>
        </w:rPr>
        <w:t>3</w:t>
      </w:r>
      <w:r w:rsidR="00000000" w:rsidRPr="00523879">
        <w:rPr>
          <w:lang w:val="en-US"/>
        </w:rPr>
        <w:t>NH</w:t>
      </w:r>
      <w:r w:rsidR="00000000" w:rsidRPr="00523879">
        <w:rPr>
          <w:vertAlign w:val="subscript"/>
          <w:lang w:val="en-US"/>
        </w:rPr>
        <w:t>3</w:t>
      </w:r>
      <w:r w:rsidR="00000000" w:rsidRPr="00523879">
        <w:rPr>
          <w:lang w:val="en-US"/>
        </w:rPr>
        <w:t>)</w:t>
      </w:r>
      <w:r w:rsidR="00000000" w:rsidRPr="00523879">
        <w:rPr>
          <w:vertAlign w:val="subscript"/>
          <w:lang w:val="en-US"/>
        </w:rPr>
        <w:t>0.15</w:t>
      </w:r>
      <w:r w:rsidR="00000000" w:rsidRPr="00523879">
        <w:rPr>
          <w:lang w:val="en-US"/>
        </w:rPr>
        <w:t>(CH(NH</w:t>
      </w:r>
      <w:r w:rsidR="00000000" w:rsidRPr="00523879">
        <w:rPr>
          <w:vertAlign w:val="subscript"/>
          <w:lang w:val="en-US"/>
        </w:rPr>
        <w:t>2</w:t>
      </w:r>
      <w:r w:rsidR="00000000" w:rsidRPr="00523879">
        <w:rPr>
          <w:lang w:val="en-US"/>
        </w:rPr>
        <w:t>)</w:t>
      </w:r>
      <w:r w:rsidR="00000000" w:rsidRPr="00523879">
        <w:rPr>
          <w:vertAlign w:val="subscript"/>
          <w:lang w:val="en-US"/>
        </w:rPr>
        <w:t>2</w:t>
      </w:r>
      <w:r w:rsidR="00000000" w:rsidRPr="00523879">
        <w:rPr>
          <w:lang w:val="en-US"/>
        </w:rPr>
        <w:t>)</w:t>
      </w:r>
      <w:r w:rsidR="00000000" w:rsidRPr="00523879">
        <w:rPr>
          <w:vertAlign w:val="subscript"/>
          <w:lang w:val="en-US"/>
        </w:rPr>
        <w:t>0.8</w:t>
      </w:r>
      <w:r w:rsidR="00000000" w:rsidRPr="00523879">
        <w:rPr>
          <w:lang w:val="en-US"/>
        </w:rPr>
        <w:t>Pb(I</w:t>
      </w:r>
      <w:r w:rsidR="00000000" w:rsidRPr="00523879">
        <w:rPr>
          <w:vertAlign w:val="subscript"/>
          <w:lang w:val="en-US"/>
        </w:rPr>
        <w:t>0.75</w:t>
      </w:r>
      <w:r w:rsidR="00000000" w:rsidRPr="00523879">
        <w:rPr>
          <w:lang w:val="en-US"/>
        </w:rPr>
        <w:t>Br</w:t>
      </w:r>
      <w:r w:rsidR="00000000" w:rsidRPr="00523879">
        <w:rPr>
          <w:vertAlign w:val="subscript"/>
          <w:lang w:val="en-US"/>
        </w:rPr>
        <w:t>0.25</w:t>
      </w:r>
      <w:r w:rsidR="00000000" w:rsidRPr="00523879">
        <w:rPr>
          <w:lang w:val="en-US"/>
        </w:rPr>
        <w:t>)</w:t>
      </w:r>
      <w:r w:rsidR="00000000" w:rsidRPr="00523879">
        <w:rPr>
          <w:vertAlign w:val="subscript"/>
          <w:lang w:val="en-US"/>
        </w:rPr>
        <w:t>3</w:t>
      </w:r>
      <w:r w:rsidR="00000000" w:rsidRPr="00523879">
        <w:rPr>
          <w:lang w:val="en-US"/>
        </w:rPr>
        <w:t xml:space="preserve"> [2].</w:t>
      </w:r>
    </w:p>
    <w:p w14:paraId="45237FB3" w14:textId="2424510B" w:rsidR="00B26679" w:rsidRDefault="00000000" w:rsidP="00AA01BB">
      <w:pPr>
        <w:spacing w:line="240" w:lineRule="auto"/>
        <w:ind w:right="0" w:firstLine="0"/>
        <w:jc w:val="center"/>
        <w:rPr>
          <w:lang w:val="en-US"/>
        </w:rPr>
      </w:pPr>
      <w:r w:rsidRPr="00523879">
        <w:rPr>
          <w:lang w:val="en-US"/>
        </w:rPr>
        <w:t xml:space="preserve">Fig. 1. Structure of TPA-TCO and </w:t>
      </w:r>
      <w:proofErr w:type="spellStart"/>
      <w:r w:rsidRPr="00523879">
        <w:rPr>
          <w:lang w:val="en-US"/>
        </w:rPr>
        <w:t>DPMes</w:t>
      </w:r>
      <w:proofErr w:type="spellEnd"/>
      <w:r w:rsidRPr="00523879">
        <w:rPr>
          <w:lang w:val="en-US"/>
        </w:rPr>
        <w:t>-TT molecules</w:t>
      </w:r>
    </w:p>
    <w:p w14:paraId="475E55AB" w14:textId="421B5EF4" w:rsidR="00B26679" w:rsidRDefault="00000000" w:rsidP="00B26679">
      <w:pPr>
        <w:spacing w:line="240" w:lineRule="auto"/>
        <w:ind w:right="0" w:firstLine="397"/>
        <w:rPr>
          <w:lang w:val="en-US"/>
        </w:rPr>
      </w:pPr>
      <w:r w:rsidRPr="00523879">
        <w:rPr>
          <w:lang w:val="en-US"/>
        </w:rPr>
        <w:t xml:space="preserve">First, thin films based on TPA-TCO and </w:t>
      </w:r>
      <w:proofErr w:type="spellStart"/>
      <w:r w:rsidRPr="00523879">
        <w:rPr>
          <w:lang w:val="en-US"/>
        </w:rPr>
        <w:t>DPMes</w:t>
      </w:r>
      <w:proofErr w:type="spellEnd"/>
      <w:r w:rsidRPr="00523879">
        <w:rPr>
          <w:lang w:val="en-US"/>
        </w:rPr>
        <w:t>-TT were investigated with a set of techniques to evaluate their suitability for p-</w:t>
      </w:r>
      <w:proofErr w:type="spellStart"/>
      <w:r w:rsidRPr="00523879">
        <w:rPr>
          <w:lang w:val="en-US"/>
        </w:rPr>
        <w:t>i</w:t>
      </w:r>
      <w:proofErr w:type="spellEnd"/>
      <w:r w:rsidRPr="00523879">
        <w:rPr>
          <w:lang w:val="en-US"/>
        </w:rPr>
        <w:t xml:space="preserve">-n </w:t>
      </w:r>
      <w:proofErr w:type="spellStart"/>
      <w:r w:rsidRPr="00523879">
        <w:rPr>
          <w:lang w:val="en-US"/>
        </w:rPr>
        <w:t>wPSCs</w:t>
      </w:r>
      <w:proofErr w:type="spellEnd"/>
      <w:r w:rsidRPr="00523879">
        <w:rPr>
          <w:lang w:val="en-US"/>
        </w:rPr>
        <w:t>. The wettability of the thin films by the perovskite solution was evaluated to ensure the formation of high-quality photoactive layers on top. The optical absorbance of the obtained films was analyzed using UV–vis spectroscopy. The quality and uniformity of the HTM films after DMF washing were confirmed by atomic force microscopy.</w:t>
      </w:r>
    </w:p>
    <w:p w14:paraId="11AEFDB5" w14:textId="14B34FDC" w:rsidR="00B26679" w:rsidRDefault="00000000" w:rsidP="00B26679">
      <w:pPr>
        <w:spacing w:line="240" w:lineRule="auto"/>
        <w:ind w:right="0" w:firstLine="397"/>
        <w:rPr>
          <w:lang w:val="en-US"/>
        </w:rPr>
      </w:pPr>
      <w:r w:rsidRPr="00523879">
        <w:rPr>
          <w:lang w:val="en-US"/>
        </w:rPr>
        <w:t xml:space="preserve">In the next step, devices with various configurations incorporating the investigated HTMs and wide-bandgap perovskites were fabricated. The best characteristics were achieved with the configuration </w:t>
      </w:r>
      <w:proofErr w:type="spellStart"/>
      <w:r w:rsidRPr="00523879">
        <w:rPr>
          <w:lang w:val="en-US"/>
        </w:rPr>
        <w:t>Indiumtin</w:t>
      </w:r>
      <w:proofErr w:type="spellEnd"/>
      <w:r w:rsidRPr="00523879">
        <w:rPr>
          <w:lang w:val="en-US"/>
        </w:rPr>
        <w:t xml:space="preserve"> oxide/</w:t>
      </w:r>
      <w:proofErr w:type="spellStart"/>
      <w:r w:rsidRPr="00523879">
        <w:rPr>
          <w:lang w:val="en-US"/>
        </w:rPr>
        <w:t>NiO</w:t>
      </w:r>
      <w:r w:rsidRPr="00523879">
        <w:rPr>
          <w:vertAlign w:val="subscript"/>
          <w:lang w:val="en-US"/>
        </w:rPr>
        <w:t>x</w:t>
      </w:r>
      <w:proofErr w:type="spellEnd"/>
      <w:r w:rsidRPr="00523879">
        <w:rPr>
          <w:lang w:val="en-US"/>
        </w:rPr>
        <w:t>/HTM/Cs</w:t>
      </w:r>
      <w:r w:rsidRPr="00523879">
        <w:rPr>
          <w:vertAlign w:val="subscript"/>
          <w:lang w:val="en-US"/>
        </w:rPr>
        <w:t>0.05</w:t>
      </w:r>
      <w:r w:rsidRPr="00523879">
        <w:rPr>
          <w:lang w:val="en-US"/>
        </w:rPr>
        <w:t>(CH</w:t>
      </w:r>
      <w:r w:rsidRPr="00523879">
        <w:rPr>
          <w:vertAlign w:val="subscript"/>
          <w:lang w:val="en-US"/>
        </w:rPr>
        <w:t>3</w:t>
      </w:r>
      <w:r w:rsidRPr="00523879">
        <w:rPr>
          <w:lang w:val="en-US"/>
        </w:rPr>
        <w:t>NH</w:t>
      </w:r>
      <w:r w:rsidRPr="00523879">
        <w:rPr>
          <w:vertAlign w:val="subscript"/>
          <w:lang w:val="en-US"/>
        </w:rPr>
        <w:t>3</w:t>
      </w:r>
      <w:r w:rsidRPr="00523879">
        <w:rPr>
          <w:lang w:val="en-US"/>
        </w:rPr>
        <w:t>)</w:t>
      </w:r>
      <w:r w:rsidRPr="00523879">
        <w:rPr>
          <w:vertAlign w:val="subscript"/>
          <w:lang w:val="en-US"/>
        </w:rPr>
        <w:t>0.15</w:t>
      </w:r>
      <w:r w:rsidRPr="00523879">
        <w:rPr>
          <w:lang w:val="en-US"/>
        </w:rPr>
        <w:t>(CH(NH</w:t>
      </w:r>
      <w:r w:rsidRPr="00523879">
        <w:rPr>
          <w:vertAlign w:val="subscript"/>
          <w:lang w:val="en-US"/>
        </w:rPr>
        <w:t>2</w:t>
      </w:r>
      <w:r w:rsidRPr="00523879">
        <w:rPr>
          <w:lang w:val="en-US"/>
        </w:rPr>
        <w:t>)</w:t>
      </w:r>
      <w:r w:rsidRPr="00523879">
        <w:rPr>
          <w:vertAlign w:val="subscript"/>
          <w:lang w:val="en-US"/>
        </w:rPr>
        <w:t>2</w:t>
      </w:r>
      <w:r w:rsidRPr="00523879">
        <w:rPr>
          <w:lang w:val="en-US"/>
        </w:rPr>
        <w:t>)</w:t>
      </w:r>
      <w:r w:rsidRPr="00523879">
        <w:rPr>
          <w:vertAlign w:val="subscript"/>
          <w:lang w:val="en-US"/>
        </w:rPr>
        <w:t>0.8</w:t>
      </w:r>
      <w:r w:rsidRPr="00523879">
        <w:rPr>
          <w:lang w:val="en-US"/>
        </w:rPr>
        <w:t>Pb(I</w:t>
      </w:r>
      <w:r w:rsidRPr="00523879">
        <w:rPr>
          <w:vertAlign w:val="subscript"/>
          <w:lang w:val="en-US"/>
        </w:rPr>
        <w:t>0.75</w:t>
      </w:r>
      <w:r w:rsidRPr="00523879">
        <w:rPr>
          <w:lang w:val="en-US"/>
        </w:rPr>
        <w:t>Br</w:t>
      </w:r>
      <w:r w:rsidRPr="00523879">
        <w:rPr>
          <w:vertAlign w:val="subscript"/>
          <w:lang w:val="en-US"/>
        </w:rPr>
        <w:t>0.25</w:t>
      </w:r>
      <w:r w:rsidRPr="00523879">
        <w:rPr>
          <w:lang w:val="en-US"/>
        </w:rPr>
        <w:t>)</w:t>
      </w:r>
      <w:r w:rsidRPr="00523879">
        <w:rPr>
          <w:vertAlign w:val="subscript"/>
          <w:lang w:val="en-US"/>
        </w:rPr>
        <w:t>3</w:t>
      </w:r>
      <w:r w:rsidRPr="00523879">
        <w:rPr>
          <w:lang w:val="en-US"/>
        </w:rPr>
        <w:t>/ [6,6]-phenyl-C</w:t>
      </w:r>
      <w:r w:rsidRPr="00523879">
        <w:rPr>
          <w:vertAlign w:val="subscript"/>
          <w:lang w:val="en-US"/>
        </w:rPr>
        <w:t>61</w:t>
      </w:r>
      <w:r w:rsidRPr="00523879">
        <w:rPr>
          <w:lang w:val="en-US"/>
        </w:rPr>
        <w:t xml:space="preserve">-butyric acid methyl ester/Mg/Ag. The study of photoluminescence and </w:t>
      </w:r>
      <w:proofErr w:type="spellStart"/>
      <w:r w:rsidRPr="00523879">
        <w:rPr>
          <w:lang w:val="en-US"/>
        </w:rPr>
        <w:t>timeresolved</w:t>
      </w:r>
      <w:proofErr w:type="spellEnd"/>
      <w:r w:rsidRPr="00523879">
        <w:rPr>
          <w:lang w:val="en-US"/>
        </w:rPr>
        <w:t xml:space="preserve"> photoluminescence spectra showed that the higher efficiency of the device with the studied materials may be associated with better passivation of physical impact defects. Our study confirmed the potential of triphenylamine based HTMs for the application in p-</w:t>
      </w:r>
      <w:proofErr w:type="spellStart"/>
      <w:r w:rsidRPr="00523879">
        <w:rPr>
          <w:lang w:val="en-US"/>
        </w:rPr>
        <w:t>i</w:t>
      </w:r>
      <w:proofErr w:type="spellEnd"/>
      <w:r w:rsidRPr="00523879">
        <w:rPr>
          <w:lang w:val="en-US"/>
        </w:rPr>
        <w:t xml:space="preserve">-n </w:t>
      </w:r>
      <w:proofErr w:type="spellStart"/>
      <w:r w:rsidRPr="00523879">
        <w:rPr>
          <w:lang w:val="en-US"/>
        </w:rPr>
        <w:t>wPSCs</w:t>
      </w:r>
      <w:proofErr w:type="spellEnd"/>
      <w:r w:rsidRPr="00523879">
        <w:rPr>
          <w:lang w:val="en-US"/>
        </w:rPr>
        <w:t>.</w:t>
      </w:r>
    </w:p>
    <w:p w14:paraId="60753B2D" w14:textId="59DB3DA6" w:rsidR="00B26679" w:rsidRDefault="00000000" w:rsidP="00B26679">
      <w:pPr>
        <w:spacing w:line="240" w:lineRule="auto"/>
        <w:ind w:right="0" w:firstLine="397"/>
        <w:rPr>
          <w:i/>
          <w:lang w:val="en-US"/>
        </w:rPr>
      </w:pPr>
      <w:r w:rsidRPr="00523879">
        <w:rPr>
          <w:i/>
          <w:lang w:val="en-US"/>
        </w:rPr>
        <w:t>This work was supported by a joint grant from NJU-</w:t>
      </w:r>
      <w:proofErr w:type="spellStart"/>
      <w:r w:rsidRPr="00523879">
        <w:rPr>
          <w:i/>
          <w:lang w:val="en-US"/>
        </w:rPr>
        <w:t>Skoltech</w:t>
      </w:r>
      <w:proofErr w:type="spellEnd"/>
      <w:r w:rsidRPr="00523879">
        <w:rPr>
          <w:i/>
          <w:lang w:val="en-US"/>
        </w:rPr>
        <w:t xml:space="preserve"> (Project 1-NJU-0005)</w:t>
      </w:r>
    </w:p>
    <w:p w14:paraId="4F7606B7" w14:textId="02458454" w:rsidR="00B26679" w:rsidRDefault="00000000" w:rsidP="00AA01BB">
      <w:pPr>
        <w:spacing w:line="240" w:lineRule="auto"/>
        <w:ind w:right="0" w:firstLine="0"/>
        <w:jc w:val="center"/>
        <w:rPr>
          <w:b/>
          <w:lang w:val="en-US"/>
        </w:rPr>
      </w:pPr>
      <w:r w:rsidRPr="00523879">
        <w:rPr>
          <w:b/>
          <w:lang w:val="en-US"/>
        </w:rPr>
        <w:t>Reference</w:t>
      </w:r>
    </w:p>
    <w:p w14:paraId="2A77B010" w14:textId="150107E0" w:rsidR="00B26679" w:rsidRDefault="00523879" w:rsidP="00AA01BB">
      <w:pPr>
        <w:spacing w:line="240" w:lineRule="auto"/>
        <w:ind w:right="0" w:firstLine="0"/>
        <w:rPr>
          <w:lang w:val="en-US"/>
        </w:rPr>
      </w:pPr>
      <w:r w:rsidRPr="00E81D35">
        <w:rPr>
          <w:lang w:val="en-US"/>
        </w:rPr>
        <w:t xml:space="preserve">1. </w:t>
      </w:r>
      <w:r w:rsidRPr="00523879">
        <w:rPr>
          <w:lang w:val="en-US"/>
        </w:rPr>
        <w:t xml:space="preserve">Hang P., et al. Highly efficient and stable wide‐bandgap perovskite solar cells via strain management //Adv. </w:t>
      </w:r>
      <w:r w:rsidRPr="00EB58AF">
        <w:rPr>
          <w:lang w:val="en-US"/>
        </w:rPr>
        <w:t>Func. Mater. 2023. Vol. 33. P. 11.</w:t>
      </w:r>
    </w:p>
    <w:p w14:paraId="6A42EDA9" w14:textId="760F61DA" w:rsidR="00E23855" w:rsidRDefault="00523879" w:rsidP="00AA01BB">
      <w:pPr>
        <w:spacing w:line="240" w:lineRule="auto"/>
        <w:ind w:right="0" w:firstLine="0"/>
      </w:pPr>
      <w:r>
        <w:rPr>
          <w:lang w:val="en-US"/>
        </w:rPr>
        <w:t>2</w:t>
      </w:r>
      <w:r w:rsidRPr="00E81D35">
        <w:rPr>
          <w:lang w:val="en-US"/>
        </w:rPr>
        <w:t xml:space="preserve">. </w:t>
      </w:r>
      <w:r w:rsidRPr="00523879">
        <w:rPr>
          <w:lang w:val="en-US"/>
        </w:rPr>
        <w:t xml:space="preserve">Ning S., et al. Reinforcing the Buried Interface Enables Efficient and Stable Wide‐Bandgap Perovskite Solar Cells for Perovskite/Silicon Tandems //Adv. </w:t>
      </w:r>
      <w:r>
        <w:t xml:space="preserve">Optical Mater. 2025. </w:t>
      </w:r>
      <w:proofErr w:type="spellStart"/>
      <w:r>
        <w:t>Vol</w:t>
      </w:r>
      <w:proofErr w:type="spellEnd"/>
      <w:r>
        <w:t>. 13. P.</w:t>
      </w:r>
      <w:r w:rsidR="00AA01BB">
        <w:t xml:space="preserve"> </w:t>
      </w:r>
      <w:r w:rsidR="00000000">
        <w:t>32.</w:t>
      </w:r>
    </w:p>
    <w:sectPr w:rsidR="00E23855" w:rsidSect="00523879">
      <w:pgSz w:w="11906" w:h="16838"/>
      <w:pgMar w:top="1134" w:right="1361" w:bottom="113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11C1A"/>
    <w:multiLevelType w:val="hybridMultilevel"/>
    <w:tmpl w:val="8E2A8650"/>
    <w:lvl w:ilvl="0" w:tplc="1CBA76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A6B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64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616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03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C2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0B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41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013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0268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55"/>
    <w:rsid w:val="002138F8"/>
    <w:rsid w:val="00523879"/>
    <w:rsid w:val="006548CD"/>
    <w:rsid w:val="00810CB0"/>
    <w:rsid w:val="00AA01BB"/>
    <w:rsid w:val="00B26679"/>
    <w:rsid w:val="00E23855"/>
    <w:rsid w:val="00EB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8E2"/>
  <w15:docId w15:val="{C51F4D28-E1AE-402F-976E-A5DB0F87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9" w:lineRule="auto"/>
      <w:ind w:right="1" w:firstLine="386"/>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I-on</cp:lastModifiedBy>
  <cp:revision>4</cp:revision>
  <dcterms:created xsi:type="dcterms:W3CDTF">2026-03-23T20:01:00Z</dcterms:created>
  <dcterms:modified xsi:type="dcterms:W3CDTF">2026-03-23T20:03:00Z</dcterms:modified>
</cp:coreProperties>
</file>