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AC7A" w14:textId="77777777" w:rsidR="000950BA" w:rsidRDefault="00E163C8" w:rsidP="00066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proofErr w:type="spellStart"/>
      <w:r w:rsidRPr="003C7B2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Двуспектральные</w:t>
      </w:r>
      <w:proofErr w:type="spellEnd"/>
      <w:r w:rsidRPr="003C7B2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сцинтилляционные экраны для </w:t>
      </w:r>
      <w:r w:rsidR="003D27C4" w:rsidRPr="003C7B2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применения</w:t>
      </w:r>
      <w:r w:rsidRPr="003C7B2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в рентгеновской визуализации</w:t>
      </w:r>
    </w:p>
    <w:p w14:paraId="3B686BB4" w14:textId="3D633F14" w:rsidR="00184230" w:rsidRPr="003C7B25" w:rsidRDefault="0007081B" w:rsidP="00066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vertAlign w:val="superscript"/>
          <w:lang w:eastAsia="ru-RU"/>
        </w:rPr>
      </w:pPr>
      <w:r w:rsidRPr="003C7B25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Субботин</w:t>
      </w:r>
      <w:r w:rsidR="000950BA" w:rsidRPr="000950BA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</w:t>
      </w:r>
      <w:r w:rsidR="000950BA" w:rsidRPr="003C7B25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Я.А</w:t>
      </w:r>
      <w:r w:rsidR="000950BA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.</w:t>
      </w:r>
      <w:r w:rsidR="000950BA" w:rsidRPr="003C7B25">
        <w:rPr>
          <w:rFonts w:ascii="Times New Roman" w:eastAsia="Times New Roman" w:hAnsi="Times New Roman" w:cs="Times New Roman"/>
          <w:b/>
          <w:i/>
          <w:sz w:val="24"/>
          <w:szCs w:val="28"/>
          <w:vertAlign w:val="superscript"/>
          <w:lang w:eastAsia="ru-RU"/>
        </w:rPr>
        <w:t>1</w:t>
      </w:r>
      <w:r w:rsidRPr="003C7B25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, Тарасов</w:t>
      </w:r>
      <w:r w:rsidR="000950BA" w:rsidRPr="000950BA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</w:t>
      </w:r>
      <w:r w:rsidR="000950BA" w:rsidRPr="003C7B25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А.Б</w:t>
      </w:r>
      <w:r w:rsidR="000950BA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.</w:t>
      </w:r>
      <w:r w:rsidR="00FD56F5" w:rsidRPr="003C7B25">
        <w:rPr>
          <w:rFonts w:ascii="Times New Roman" w:eastAsia="Times New Roman" w:hAnsi="Times New Roman" w:cs="Times New Roman"/>
          <w:b/>
          <w:i/>
          <w:sz w:val="24"/>
          <w:szCs w:val="28"/>
          <w:vertAlign w:val="superscript"/>
          <w:lang w:eastAsia="ru-RU"/>
        </w:rPr>
        <w:t>1,2</w:t>
      </w:r>
    </w:p>
    <w:p w14:paraId="3E20CDA5" w14:textId="77777777" w:rsidR="000950BA" w:rsidRPr="000950BA" w:rsidRDefault="00E43016" w:rsidP="000950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0950BA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Студент, 2 курс бакалавриата</w:t>
      </w:r>
    </w:p>
    <w:p w14:paraId="718FC1FA" w14:textId="4B2979A2" w:rsidR="00DC365E" w:rsidRPr="003C7B25" w:rsidRDefault="00DC365E" w:rsidP="00095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0950BA">
        <w:rPr>
          <w:rFonts w:ascii="Times New Roman" w:eastAsia="Times New Roman" w:hAnsi="Times New Roman" w:cs="Times New Roman"/>
          <w:bCs/>
          <w:i/>
          <w:sz w:val="24"/>
          <w:szCs w:val="28"/>
          <w:vertAlign w:val="superscript"/>
          <w:lang w:eastAsia="ru-RU"/>
        </w:rPr>
        <w:t>1</w:t>
      </w:r>
      <w:r w:rsidRPr="000950BA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Факультет наук о материалах МГУ им. М. В. Ломоносова, Москва</w:t>
      </w:r>
      <w:r w:rsidR="00E43016" w:rsidRPr="000950BA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, Россия</w:t>
      </w:r>
    </w:p>
    <w:p w14:paraId="33117AC6" w14:textId="5DCAE113" w:rsidR="00710D41" w:rsidRDefault="00DC365E" w:rsidP="000950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E43016"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  <w:t>2</w:t>
      </w:r>
      <w:r w:rsidRPr="00E4301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Химический факультет МГУ им. М.В. Ломоносова</w:t>
      </w:r>
      <w:r w:rsidR="0035101C" w:rsidRPr="00E4301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 Москва</w:t>
      </w:r>
      <w:r w:rsidR="00E43016" w:rsidRPr="00E4301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 Россия</w:t>
      </w:r>
    </w:p>
    <w:p w14:paraId="3F8EB0F0" w14:textId="132B31E9" w:rsidR="000950BA" w:rsidRPr="000950BA" w:rsidRDefault="00AC5EE1" w:rsidP="000950BA">
      <w:pPr>
        <w:tabs>
          <w:tab w:val="left" w:pos="719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val="en-US"/>
        </w:rPr>
      </w:pPr>
      <w:r w:rsidRPr="003C7B25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E</w:t>
      </w:r>
      <w:r w:rsidRPr="000950BA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-</w:t>
      </w:r>
      <w:r w:rsidRPr="003C7B25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mail</w:t>
      </w:r>
      <w:r w:rsidRPr="000950BA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 xml:space="preserve">: </w:t>
      </w:r>
      <w:r w:rsidR="000950BA" w:rsidRPr="000950BA">
        <w:rPr>
          <w:rFonts w:ascii="Times New Roman" w:eastAsia="Times New Roman" w:hAnsi="Times New Roman" w:cs="Times New Roman"/>
          <w:i/>
          <w:sz w:val="24"/>
          <w:szCs w:val="28"/>
          <w:u w:val="single"/>
          <w:lang w:val="en-US" w:eastAsia="ru-RU"/>
        </w:rPr>
        <w:t>subbotinya@my.msu.ru</w:t>
      </w:r>
    </w:p>
    <w:p w14:paraId="4CB88E2C" w14:textId="3E78E8FB" w:rsidR="005F1C6C" w:rsidRPr="003C7B25" w:rsidRDefault="00DE19A0" w:rsidP="000950BA">
      <w:pPr>
        <w:tabs>
          <w:tab w:val="left" w:pos="7195"/>
        </w:tabs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50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Сцинтилляторы – вещества, способные излучать свет при поглощении ионизирующего излучения (альфа-частиц, гамма-квантов, электронов и т.д.). Одной из наиболее важных областей применения сцинтилляторов является рентгеновская визуализация – незаменимый метод неразрушающего контроля в м</w:t>
      </w:r>
      <w:r w:rsidR="00B4113B" w:rsidRPr="000950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едицине и системах безопасности [1].</w:t>
      </w:r>
    </w:p>
    <w:p w14:paraId="774A43F4" w14:textId="77777777" w:rsidR="003C7B25" w:rsidRDefault="00253C94" w:rsidP="006332AA">
      <w:pPr>
        <w:tabs>
          <w:tab w:val="left" w:pos="7195"/>
        </w:tabs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современной рентгеновской визуализации важной </w:t>
      </w:r>
      <w:r w:rsidR="0033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задачей </w:t>
      </w:r>
      <w:r w:rsidR="00DF688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33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</w:t>
      </w:r>
      <w:r w:rsidR="0018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комплексного </w:t>
      </w:r>
      <w:r w:rsidR="001854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рентгеновского снимка</w:t>
      </w:r>
      <w:r w:rsidR="000A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13B">
        <w:rPr>
          <w:rFonts w:ascii="Times New Roman" w:eastAsia="Times New Roman" w:hAnsi="Times New Roman" w:cs="Times New Roman"/>
          <w:sz w:val="24"/>
          <w:szCs w:val="24"/>
          <w:lang w:eastAsia="ru-RU"/>
        </w:rPr>
        <w:t>[2,3</w:t>
      </w:r>
      <w:r w:rsidR="000A7AAA" w:rsidRPr="000A7AAA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18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котором будут присутствовать как </w:t>
      </w:r>
      <w:r w:rsidR="003368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с большой эффективностью поглощения излучения (например, кости), так и с низкой (например, мягкие ткани), что позволит сразу провести полное оценивание состояния объекта.</w:t>
      </w:r>
      <w:r w:rsidR="00887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</w:t>
      </w:r>
      <w:r w:rsidR="00887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предложено использование </w:t>
      </w:r>
      <w:r w:rsidR="00B34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перспективных </w:t>
      </w:r>
      <w:r w:rsidR="0036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новых </w:t>
      </w:r>
      <w:proofErr w:type="spellStart"/>
      <w:r w:rsidR="00435545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двуспектральных</w:t>
      </w:r>
      <w:proofErr w:type="spellEnd"/>
      <w:r w:rsidR="00435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сцинти</w:t>
      </w:r>
      <w:r w:rsidR="00B34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лляционных экранов. </w:t>
      </w:r>
      <w:r w:rsidR="0036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данной работы было изготовление </w:t>
      </w:r>
      <w:r w:rsidR="00264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</w:t>
      </w:r>
      <w:r w:rsidR="0036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экранов на основе </w:t>
      </w:r>
      <w:r w:rsidR="00363410" w:rsidRPr="00363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</w:t>
      </w:r>
      <w:r w:rsidR="00363410" w:rsidRPr="0036341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spellStart"/>
      <w:r w:rsidR="00363410" w:rsidRPr="00363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</w:t>
      </w:r>
      <w:proofErr w:type="spellEnd"/>
      <w:proofErr w:type="gramStart"/>
      <w:r w:rsidR="00363410" w:rsidRPr="0036341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="00363410" w:rsidRPr="003634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63410" w:rsidRPr="00363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gramEnd"/>
      <w:r w:rsidR="0036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63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 w:rsidR="00037E02" w:rsidRPr="00037E0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="00037E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37E02" w:rsidRPr="00037E0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="00037E02" w:rsidRPr="00037E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37E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HMTA</w:t>
      </w:r>
      <w:r w:rsidR="00037E02" w:rsidRPr="00037E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37E02" w:rsidRPr="00037E0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962A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31111B" w14:textId="77777777" w:rsidR="003C7B25" w:rsidRDefault="008A169B" w:rsidP="00647A64">
      <w:pPr>
        <w:tabs>
          <w:tab w:val="left" w:pos="7195"/>
        </w:tabs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порошков сцинтилляторов</w:t>
      </w:r>
      <w:r w:rsidRPr="008A1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 w:rsidRPr="00037E0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37E0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037E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HMTA</w:t>
      </w:r>
      <w:r w:rsidRPr="00037E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37E0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синтезирован, </w:t>
      </w:r>
      <w:r w:rsidRPr="00363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</w:t>
      </w:r>
      <w:r w:rsidRPr="0036341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spellStart"/>
      <w:r w:rsidRPr="00363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</w:t>
      </w:r>
      <w:proofErr w:type="spellEnd"/>
      <w:proofErr w:type="gramStart"/>
      <w:r w:rsidRPr="0036341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3634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63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кристалл – приобретен у производителя) были изготовлены сер</w:t>
      </w:r>
      <w:r w:rsidR="00DA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композитных экранов с поливинилацетатом, для которых был проведен </w:t>
      </w:r>
      <w:r w:rsidR="000A4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</w:t>
      </w:r>
      <w:proofErr w:type="spellStart"/>
      <w:r w:rsidR="000A46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световыхода</w:t>
      </w:r>
      <w:proofErr w:type="spellEnd"/>
      <w:r w:rsidR="000A4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(среднее значение – 27 000 и 14 000 фотонов</w:t>
      </w:r>
      <w:r w:rsidR="000A4671" w:rsidRPr="000A467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A4671">
        <w:rPr>
          <w:rFonts w:ascii="Times New Roman" w:eastAsia="Times New Roman" w:hAnsi="Times New Roman" w:cs="Times New Roman"/>
          <w:sz w:val="24"/>
          <w:szCs w:val="24"/>
          <w:lang w:eastAsia="ru-RU"/>
        </w:rPr>
        <w:t>МэВ</w:t>
      </w:r>
      <w:r w:rsidR="00E43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</w:t>
      </w:r>
      <w:r w:rsidR="00532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</w:t>
      </w:r>
      <w:r w:rsidR="00DA1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пространственного разрешения (среднее значение – 7.1 и 5.9 пар линий</w:t>
      </w:r>
      <w:r w:rsidR="00DA18BC" w:rsidRPr="00DA18B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A18BC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r w:rsidR="004F7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соответственно) на основе рентгенографических снимков</w:t>
      </w:r>
      <w:r w:rsidR="000A4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тест-объектов</w:t>
      </w:r>
      <w:r w:rsidR="00E0742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Полученные композитные экраны сопоставимы по своим характеристикам с коммерческими образцами.</w:t>
      </w:r>
    </w:p>
    <w:p w14:paraId="6E0E01D3" w14:textId="77777777" w:rsidR="00642897" w:rsidRPr="001A4BC7" w:rsidRDefault="00642897" w:rsidP="00647A64">
      <w:pPr>
        <w:tabs>
          <w:tab w:val="left" w:pos="7195"/>
        </w:tabs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композитные экраны механически объединялись с</w:t>
      </w:r>
      <w:r w:rsidR="00EF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прозрачны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в оптическом диапазоне </w:t>
      </w:r>
      <w:r w:rsidR="00323C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642897">
        <w:rPr>
          <w:rFonts w:ascii="Times New Roman" w:eastAsia="Times New Roman" w:hAnsi="Times New Roman" w:cs="Times New Roman"/>
          <w:sz w:val="24"/>
          <w:szCs w:val="24"/>
          <w:lang w:eastAsia="ru-RU"/>
        </w:rPr>
        <w:t>208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содержащем 2</w:t>
      </w:r>
      <w:r w:rsidRPr="0064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CeO</w:t>
      </w:r>
      <w:proofErr w:type="spellEnd"/>
      <w:r w:rsidRPr="006428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323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432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r w:rsidR="00323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отфильтровывать низкоэнергетическое </w:t>
      </w:r>
      <w:r w:rsidR="006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рентгеновское </w:t>
      </w:r>
      <w:r w:rsidR="00323C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излучение</w:t>
      </w:r>
      <w:r w:rsidR="00C13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4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нижнего </w:t>
      </w:r>
      <w:r w:rsidR="00323C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слоя</w:t>
      </w:r>
      <w:r w:rsidR="00C13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важно для получения качественного </w:t>
      </w:r>
      <w:r w:rsidR="006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комплексного </w:t>
      </w:r>
      <w:r w:rsidR="00C135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</w:t>
      </w:r>
      <w:r w:rsidR="00D13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еновского снимка. Пространственное разрешение полученных </w:t>
      </w:r>
      <w:proofErr w:type="spellStart"/>
      <w:r w:rsidR="00D13B4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двуспектральных</w:t>
      </w:r>
      <w:proofErr w:type="spellEnd"/>
      <w:r w:rsidR="00D13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экранов составило </w:t>
      </w:r>
      <w:r w:rsidR="001A4BC7">
        <w:rPr>
          <w:rFonts w:ascii="Times New Roman" w:eastAsia="Times New Roman" w:hAnsi="Times New Roman" w:cs="Times New Roman"/>
          <w:sz w:val="24"/>
          <w:szCs w:val="24"/>
          <w:lang w:eastAsia="ru-RU"/>
        </w:rPr>
        <w:t>5 пар линий</w:t>
      </w:r>
      <w:r w:rsidR="001A4BC7" w:rsidRPr="004F2C4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A4BC7">
        <w:rPr>
          <w:rFonts w:ascii="Times New Roman" w:eastAsia="Times New Roman" w:hAnsi="Times New Roman" w:cs="Times New Roman"/>
          <w:sz w:val="24"/>
          <w:szCs w:val="24"/>
          <w:lang w:eastAsia="ru-RU"/>
        </w:rPr>
        <w:t>мм.</w:t>
      </w:r>
    </w:p>
    <w:p w14:paraId="2A68EE98" w14:textId="77777777" w:rsidR="00607EE4" w:rsidRPr="000950BA" w:rsidRDefault="00DB6AA5" w:rsidP="00CB57DB">
      <w:pPr>
        <w:tabs>
          <w:tab w:val="left" w:pos="7195"/>
        </w:tabs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работы были получены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двуспектральные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сцинтилляционные экраны, которые затем были </w:t>
      </w:r>
      <w:r w:rsidR="00DE32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2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</w:t>
      </w:r>
      <w:r w:rsidR="00DE32F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4F2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рентгеновской визуализации.</w:t>
      </w:r>
    </w:p>
    <w:p w14:paraId="16960946" w14:textId="77777777" w:rsidR="00607EE4" w:rsidRPr="000950BA" w:rsidRDefault="00607EE4" w:rsidP="003C7B25">
      <w:pPr>
        <w:tabs>
          <w:tab w:val="left" w:pos="719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07E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14:paraId="14EE83EC" w14:textId="77777777" w:rsidR="00D35173" w:rsidRDefault="00EF74B2" w:rsidP="003C7B25">
      <w:pPr>
        <w:pStyle w:val="ab"/>
        <w:tabs>
          <w:tab w:val="left" w:pos="7195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r w:rsidR="00D35173" w:rsidRPr="00110D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High-Resolution Dual-Energy X-ray Imaging Enabled by Transparent Thermally Activated Delayed Fluorescence (TADF) Scintillation Screen</w:t>
      </w:r>
      <w:r w:rsidR="00110D9B" w:rsidRPr="00110D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D35173" w:rsidRPr="00110D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Jian-Xin Wang, </w:t>
      </w:r>
      <w:proofErr w:type="spellStart"/>
      <w:r w:rsidR="00D35173" w:rsidRPr="00110D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Tengyue</w:t>
      </w:r>
      <w:proofErr w:type="spellEnd"/>
      <w:r w:rsidR="00D35173" w:rsidRPr="00110D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He, Xin Zhu, </w:t>
      </w:r>
      <w:proofErr w:type="spellStart"/>
      <w:r w:rsidR="00D35173" w:rsidRPr="00110D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Simil</w:t>
      </w:r>
      <w:proofErr w:type="spellEnd"/>
      <w:r w:rsidR="00D35173" w:rsidRPr="00110D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Thomas, Wenyi Shao, Osama Shekhah, Husam N. Alshareef, Osman M. Bakr, Mohamed Eddaoudi, and Omar F. Mohammed ACS Materials Letters 2025 7 (1), 250-256</w:t>
      </w:r>
      <w:r w:rsidR="00110D9B" w:rsidRPr="00110D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D35173" w:rsidRPr="00110D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DOI: 10.1021/acsmaterialslett.4c02203</w:t>
      </w:r>
    </w:p>
    <w:p w14:paraId="1D479EC6" w14:textId="77777777" w:rsidR="00607EE4" w:rsidRDefault="00FD0E31" w:rsidP="003C7B25">
      <w:pPr>
        <w:pStyle w:val="ab"/>
        <w:tabs>
          <w:tab w:val="left" w:pos="7195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D0E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Organic and Inorganic Metal Halide Tandem Scintillator for Dual-Energy Flat-Panel X-ray Imaging. </w:t>
      </w:r>
      <w:proofErr w:type="spellStart"/>
      <w:r w:rsidRPr="00FD0E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Yirong</w:t>
      </w:r>
      <w:proofErr w:type="spellEnd"/>
      <w:r w:rsidRPr="00FD0E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Su, Peng Ran, </w:t>
      </w:r>
      <w:proofErr w:type="gramStart"/>
      <w:r w:rsidR="002C5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etc.</w:t>
      </w:r>
      <w:r w:rsidRPr="00FD0E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FD0E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Journal of Physical Chemistry Letters 2023 14 (26), 6179-6186</w:t>
      </w:r>
      <w:r w:rsidRPr="002C5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FD0E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DOI: 10.1021/acs.jpclett.3c01363</w:t>
      </w:r>
    </w:p>
    <w:p w14:paraId="5FA2C195" w14:textId="77777777" w:rsidR="009D2973" w:rsidRDefault="009D2973" w:rsidP="003C7B25">
      <w:pPr>
        <w:pStyle w:val="ab"/>
        <w:tabs>
          <w:tab w:val="left" w:pos="7195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r w:rsidRPr="009D29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Transparent Organic and Metal Halide Tandem Scintillators for High-Resolution Dual-Energy X-ray Imaging. Wenyi Shao, </w:t>
      </w:r>
      <w:proofErr w:type="spellStart"/>
      <w:r w:rsidRPr="009D29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Tengyue</w:t>
      </w:r>
      <w:proofErr w:type="spellEnd"/>
      <w:r w:rsidRPr="009D29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He, </w:t>
      </w:r>
      <w:proofErr w:type="gramStart"/>
      <w:r w:rsidR="002C5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etc.</w:t>
      </w:r>
      <w:r w:rsidRPr="009D29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9D29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ACS Energy Letters 2023 8 (6), 2505-2512</w:t>
      </w:r>
      <w:r w:rsidRPr="002C5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9D29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DOI: 10.1021/acsenergylett.3c00784</w:t>
      </w:r>
    </w:p>
    <w:sectPr w:rsidR="009D2973" w:rsidSect="00CB57DB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D025" w14:textId="77777777" w:rsidR="006F07FD" w:rsidRDefault="006F07FD" w:rsidP="00CB57DB">
      <w:pPr>
        <w:spacing w:after="0" w:line="240" w:lineRule="auto"/>
      </w:pPr>
      <w:r>
        <w:separator/>
      </w:r>
    </w:p>
  </w:endnote>
  <w:endnote w:type="continuationSeparator" w:id="0">
    <w:p w14:paraId="2F697441" w14:textId="77777777" w:rsidR="006F07FD" w:rsidRDefault="006F07FD" w:rsidP="00CB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2A76" w14:textId="77777777" w:rsidR="006F07FD" w:rsidRDefault="006F07FD" w:rsidP="00CB57DB">
      <w:pPr>
        <w:spacing w:after="0" w:line="240" w:lineRule="auto"/>
      </w:pPr>
      <w:r>
        <w:separator/>
      </w:r>
    </w:p>
  </w:footnote>
  <w:footnote w:type="continuationSeparator" w:id="0">
    <w:p w14:paraId="5E0F81FB" w14:textId="77777777" w:rsidR="006F07FD" w:rsidRDefault="006F07FD" w:rsidP="00CB5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B22"/>
    <w:multiLevelType w:val="hybridMultilevel"/>
    <w:tmpl w:val="10B428E2"/>
    <w:lvl w:ilvl="0" w:tplc="4D205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7071B1"/>
    <w:multiLevelType w:val="hybridMultilevel"/>
    <w:tmpl w:val="18F8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C6F87"/>
    <w:multiLevelType w:val="hybridMultilevel"/>
    <w:tmpl w:val="972612AE"/>
    <w:lvl w:ilvl="0" w:tplc="4D2058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3D5A79"/>
    <w:multiLevelType w:val="hybridMultilevel"/>
    <w:tmpl w:val="4288C47A"/>
    <w:lvl w:ilvl="0" w:tplc="7B8C058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7DC12447"/>
    <w:multiLevelType w:val="hybridMultilevel"/>
    <w:tmpl w:val="F02663AA"/>
    <w:lvl w:ilvl="0" w:tplc="7DD01B2C">
      <w:start w:val="1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num w:numId="1" w16cid:durableId="1863282011">
    <w:abstractNumId w:val="3"/>
  </w:num>
  <w:num w:numId="2" w16cid:durableId="581991576">
    <w:abstractNumId w:val="1"/>
  </w:num>
  <w:num w:numId="3" w16cid:durableId="1767728766">
    <w:abstractNumId w:val="0"/>
  </w:num>
  <w:num w:numId="4" w16cid:durableId="145511077">
    <w:abstractNumId w:val="2"/>
  </w:num>
  <w:num w:numId="5" w16cid:durableId="1572159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7D5"/>
    <w:rsid w:val="000154ED"/>
    <w:rsid w:val="00021841"/>
    <w:rsid w:val="00037E02"/>
    <w:rsid w:val="00056CB5"/>
    <w:rsid w:val="00062DA4"/>
    <w:rsid w:val="00066EAF"/>
    <w:rsid w:val="0007081B"/>
    <w:rsid w:val="000950BA"/>
    <w:rsid w:val="000A2DCE"/>
    <w:rsid w:val="000A4671"/>
    <w:rsid w:val="000A7AAA"/>
    <w:rsid w:val="000B3978"/>
    <w:rsid w:val="000C3070"/>
    <w:rsid w:val="000D117D"/>
    <w:rsid w:val="000E04C7"/>
    <w:rsid w:val="000E778D"/>
    <w:rsid w:val="000E7E97"/>
    <w:rsid w:val="000F1382"/>
    <w:rsid w:val="00110D9B"/>
    <w:rsid w:val="00140244"/>
    <w:rsid w:val="00146DD6"/>
    <w:rsid w:val="00152BC9"/>
    <w:rsid w:val="00184230"/>
    <w:rsid w:val="00185412"/>
    <w:rsid w:val="001A4BC7"/>
    <w:rsid w:val="001A6579"/>
    <w:rsid w:val="001D4CE7"/>
    <w:rsid w:val="00213895"/>
    <w:rsid w:val="00253C94"/>
    <w:rsid w:val="00264094"/>
    <w:rsid w:val="002A367A"/>
    <w:rsid w:val="002C5E00"/>
    <w:rsid w:val="002D44C1"/>
    <w:rsid w:val="002F00A0"/>
    <w:rsid w:val="003026A7"/>
    <w:rsid w:val="003047E6"/>
    <w:rsid w:val="00310DD9"/>
    <w:rsid w:val="00315D23"/>
    <w:rsid w:val="00316269"/>
    <w:rsid w:val="00323CE4"/>
    <w:rsid w:val="00325E25"/>
    <w:rsid w:val="0033682E"/>
    <w:rsid w:val="0035101C"/>
    <w:rsid w:val="00356266"/>
    <w:rsid w:val="00363410"/>
    <w:rsid w:val="00395D43"/>
    <w:rsid w:val="003A34B1"/>
    <w:rsid w:val="003C4076"/>
    <w:rsid w:val="003C7B25"/>
    <w:rsid w:val="003D27C4"/>
    <w:rsid w:val="004134D3"/>
    <w:rsid w:val="004139C1"/>
    <w:rsid w:val="004329F9"/>
    <w:rsid w:val="00435545"/>
    <w:rsid w:val="00452926"/>
    <w:rsid w:val="00466EE2"/>
    <w:rsid w:val="00474227"/>
    <w:rsid w:val="004B6268"/>
    <w:rsid w:val="004F2C4A"/>
    <w:rsid w:val="004F3D9A"/>
    <w:rsid w:val="004F7FB9"/>
    <w:rsid w:val="00511A5F"/>
    <w:rsid w:val="0052136D"/>
    <w:rsid w:val="00531185"/>
    <w:rsid w:val="00532156"/>
    <w:rsid w:val="005D3473"/>
    <w:rsid w:val="005F1C6C"/>
    <w:rsid w:val="005F364D"/>
    <w:rsid w:val="005F3B89"/>
    <w:rsid w:val="005F6544"/>
    <w:rsid w:val="00607EE4"/>
    <w:rsid w:val="00622F2A"/>
    <w:rsid w:val="00624EF9"/>
    <w:rsid w:val="00626AAF"/>
    <w:rsid w:val="006332AA"/>
    <w:rsid w:val="00637E9B"/>
    <w:rsid w:val="00642897"/>
    <w:rsid w:val="00647A64"/>
    <w:rsid w:val="0066058D"/>
    <w:rsid w:val="006B16D6"/>
    <w:rsid w:val="006B6D8E"/>
    <w:rsid w:val="006C6395"/>
    <w:rsid w:val="006C78F9"/>
    <w:rsid w:val="006E68EA"/>
    <w:rsid w:val="006F07FD"/>
    <w:rsid w:val="007028E8"/>
    <w:rsid w:val="00710D41"/>
    <w:rsid w:val="00721689"/>
    <w:rsid w:val="007306A1"/>
    <w:rsid w:val="00732D64"/>
    <w:rsid w:val="00735BC3"/>
    <w:rsid w:val="007402BC"/>
    <w:rsid w:val="007621B1"/>
    <w:rsid w:val="00774B6D"/>
    <w:rsid w:val="007852F8"/>
    <w:rsid w:val="007E4674"/>
    <w:rsid w:val="008212B2"/>
    <w:rsid w:val="008266C8"/>
    <w:rsid w:val="0082797F"/>
    <w:rsid w:val="00877E4C"/>
    <w:rsid w:val="00882D90"/>
    <w:rsid w:val="00887135"/>
    <w:rsid w:val="008959FB"/>
    <w:rsid w:val="008A169B"/>
    <w:rsid w:val="008B7FC1"/>
    <w:rsid w:val="008E1AAF"/>
    <w:rsid w:val="009013C4"/>
    <w:rsid w:val="00962AEA"/>
    <w:rsid w:val="0096335A"/>
    <w:rsid w:val="009712F3"/>
    <w:rsid w:val="00992CE5"/>
    <w:rsid w:val="009D2973"/>
    <w:rsid w:val="009D5629"/>
    <w:rsid w:val="00A02858"/>
    <w:rsid w:val="00A05172"/>
    <w:rsid w:val="00A8291A"/>
    <w:rsid w:val="00AC5EE1"/>
    <w:rsid w:val="00AE57D5"/>
    <w:rsid w:val="00AF1A9C"/>
    <w:rsid w:val="00AF700C"/>
    <w:rsid w:val="00B051D1"/>
    <w:rsid w:val="00B2182A"/>
    <w:rsid w:val="00B34C48"/>
    <w:rsid w:val="00B4113B"/>
    <w:rsid w:val="00B61D07"/>
    <w:rsid w:val="00B75226"/>
    <w:rsid w:val="00B76B99"/>
    <w:rsid w:val="00B82E4F"/>
    <w:rsid w:val="00BA3016"/>
    <w:rsid w:val="00BA5B1C"/>
    <w:rsid w:val="00BB79ED"/>
    <w:rsid w:val="00BC4D00"/>
    <w:rsid w:val="00BD17E6"/>
    <w:rsid w:val="00C135F6"/>
    <w:rsid w:val="00C33C76"/>
    <w:rsid w:val="00C5186C"/>
    <w:rsid w:val="00C562ED"/>
    <w:rsid w:val="00C625CC"/>
    <w:rsid w:val="00C7071C"/>
    <w:rsid w:val="00C72D62"/>
    <w:rsid w:val="00C91EB6"/>
    <w:rsid w:val="00CB57DB"/>
    <w:rsid w:val="00CB77CB"/>
    <w:rsid w:val="00D13B43"/>
    <w:rsid w:val="00D35173"/>
    <w:rsid w:val="00D35BFA"/>
    <w:rsid w:val="00D55652"/>
    <w:rsid w:val="00D75A25"/>
    <w:rsid w:val="00D77B35"/>
    <w:rsid w:val="00D91540"/>
    <w:rsid w:val="00D92B0A"/>
    <w:rsid w:val="00DA18BC"/>
    <w:rsid w:val="00DA7D92"/>
    <w:rsid w:val="00DB3CB9"/>
    <w:rsid w:val="00DB4299"/>
    <w:rsid w:val="00DB6AA5"/>
    <w:rsid w:val="00DC0157"/>
    <w:rsid w:val="00DC365E"/>
    <w:rsid w:val="00DD45BF"/>
    <w:rsid w:val="00DE19A0"/>
    <w:rsid w:val="00DE32F8"/>
    <w:rsid w:val="00DF22B0"/>
    <w:rsid w:val="00DF6888"/>
    <w:rsid w:val="00E07422"/>
    <w:rsid w:val="00E163C8"/>
    <w:rsid w:val="00E332F9"/>
    <w:rsid w:val="00E33701"/>
    <w:rsid w:val="00E36DF1"/>
    <w:rsid w:val="00E43016"/>
    <w:rsid w:val="00E4395F"/>
    <w:rsid w:val="00E54236"/>
    <w:rsid w:val="00E723FE"/>
    <w:rsid w:val="00E72C74"/>
    <w:rsid w:val="00E74023"/>
    <w:rsid w:val="00E905BD"/>
    <w:rsid w:val="00EB7907"/>
    <w:rsid w:val="00EC24E3"/>
    <w:rsid w:val="00EF0153"/>
    <w:rsid w:val="00EF6768"/>
    <w:rsid w:val="00EF74B2"/>
    <w:rsid w:val="00F37148"/>
    <w:rsid w:val="00F97CC3"/>
    <w:rsid w:val="00FA4A94"/>
    <w:rsid w:val="00FB1B23"/>
    <w:rsid w:val="00FD0E31"/>
    <w:rsid w:val="00FD56F5"/>
    <w:rsid w:val="00FE150D"/>
    <w:rsid w:val="00FF2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80CFFA"/>
  <w15:docId w15:val="{1D9BEE3A-413C-44C1-BA74-67E3A970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6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6C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D1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D1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D1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D1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D1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607EE4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B5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57DB"/>
  </w:style>
  <w:style w:type="paragraph" w:styleId="ae">
    <w:name w:val="footer"/>
    <w:basedOn w:val="a"/>
    <w:link w:val="af"/>
    <w:uiPriority w:val="99"/>
    <w:unhideWhenUsed/>
    <w:rsid w:val="00CB5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57DB"/>
  </w:style>
  <w:style w:type="character" w:styleId="af0">
    <w:name w:val="Hyperlink"/>
    <w:basedOn w:val="a0"/>
    <w:uiPriority w:val="99"/>
    <w:unhideWhenUsed/>
    <w:rsid w:val="000950B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95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I-on</cp:lastModifiedBy>
  <cp:revision>6</cp:revision>
  <dcterms:created xsi:type="dcterms:W3CDTF">2026-03-23T21:29:00Z</dcterms:created>
  <dcterms:modified xsi:type="dcterms:W3CDTF">2026-03-23T21:31:00Z</dcterms:modified>
</cp:coreProperties>
</file>