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11126" w14:textId="77777777" w:rsidR="00BA00A7" w:rsidRPr="00BA00A7" w:rsidRDefault="00BA00A7" w:rsidP="00BA00A7">
      <w:pPr>
        <w:pStyle w:val="ac"/>
        <w:spacing w:line="276" w:lineRule="auto"/>
        <w:jc w:val="both"/>
        <w:rPr>
          <w:rFonts w:ascii="Times New Roman" w:hAnsi="Times New Roman" w:cs="Times New Roman"/>
        </w:rPr>
      </w:pPr>
    </w:p>
    <w:p w14:paraId="30FB9865" w14:textId="7A372911" w:rsidR="00BA00A7" w:rsidRPr="00BA00A7" w:rsidRDefault="00BA00A7" w:rsidP="009B7FFE">
      <w:pPr>
        <w:pStyle w:val="ac"/>
        <w:spacing w:line="276" w:lineRule="auto"/>
        <w:jc w:val="both"/>
        <w:rPr>
          <w:rFonts w:ascii="Times New Roman" w:hAnsi="Times New Roman" w:cs="Times New Roman"/>
        </w:rPr>
      </w:pPr>
      <w:r w:rsidRPr="00BA00A7">
        <w:rPr>
          <w:rFonts w:ascii="Times New Roman" w:hAnsi="Times New Roman" w:cs="Times New Roman"/>
        </w:rPr>
        <w:t xml:space="preserve">Disclosure of issues on social activities is particularly sensitive owing to its multifaceted complexity which implicates transformations across multiple interrelated facets of human life quality [1]. Many firms have a pattern of presentation of non-financial information including </w:t>
      </w:r>
      <w:bookmarkStart w:id="0" w:name="_GoBack"/>
      <w:r w:rsidRPr="00BA00A7">
        <w:rPr>
          <w:rFonts w:ascii="Times New Roman" w:hAnsi="Times New Roman" w:cs="Times New Roman"/>
        </w:rPr>
        <w:t xml:space="preserve">corporate governance, corporate social responsibility, chairman statement, MDA statements. </w:t>
      </w:r>
      <w:bookmarkEnd w:id="0"/>
      <w:r w:rsidRPr="00BA00A7">
        <w:rPr>
          <w:rFonts w:ascii="Times New Roman" w:hAnsi="Times New Roman" w:cs="Times New Roman"/>
        </w:rPr>
        <w:t xml:space="preserve">Unlike financial statements which are reported based on required standards, the disclosure of non-financial information does not follow prescribed regulatory framework. The primary goal of information disclosure is to help users of financial information in decision-making [2]. </w:t>
      </w:r>
      <w:proofErr w:type="spellStart"/>
      <w:r w:rsidRPr="00BA00A7">
        <w:rPr>
          <w:rFonts w:ascii="Times New Roman" w:hAnsi="Times New Roman" w:cs="Times New Roman"/>
        </w:rPr>
        <w:t>Seifzadeh</w:t>
      </w:r>
      <w:proofErr w:type="spellEnd"/>
      <w:r w:rsidRPr="00BA00A7">
        <w:rPr>
          <w:rFonts w:ascii="Times New Roman" w:hAnsi="Times New Roman" w:cs="Times New Roman"/>
        </w:rPr>
        <w:t xml:space="preserve"> et al. [2] revealed that investors find complicated reports difficult to understand, therefore, suggesting that firms avoid lengthy financial reports. The consistency in non-financial information disclosure may enhance the evaluation of such information by investors. While some argue that environmental responsibility in companies is driven by the need to evade legal penalties, others maintain it reflects adherence to ethical duties [3]. In relation to non-financial information disclosure, quantity does not necessarily equate quality. However, with ESG, sustainability issues, non-financial information are getting attention and investors are using more of such information other than earnings in decision making [4]. Hence, investors look beyond the financial outcomes to future sustainable performance of the firm in making investment decisions [4]. </w:t>
      </w:r>
    </w:p>
    <w:p w14:paraId="36F4E869" w14:textId="312F7786" w:rsidR="00BA00A7" w:rsidRPr="00BA00A7" w:rsidRDefault="00BA00A7" w:rsidP="009B7FFE">
      <w:pPr>
        <w:pStyle w:val="ac"/>
        <w:spacing w:line="276" w:lineRule="auto"/>
        <w:jc w:val="both"/>
        <w:rPr>
          <w:rFonts w:ascii="Times New Roman" w:hAnsi="Times New Roman" w:cs="Times New Roman"/>
        </w:rPr>
      </w:pPr>
      <w:r w:rsidRPr="00BA00A7">
        <w:rPr>
          <w:rFonts w:ascii="Times New Roman" w:hAnsi="Times New Roman" w:cs="Times New Roman"/>
        </w:rPr>
        <w:t xml:space="preserve">Firms continue to report information on social, environmental and governance (ESG) to meet regulatory and investors’ needs. When the sustainable development concept was first popularised, the emphasis was more on environmental sustainability while further extensions included social and governance. Stakeholder theory explains that the firm is not only responsible to shareholders but to other stakeholders who are affected by the operations of the firm. Firms are expected to create value to stakeholder groups, hence, meet the different stakeholders’ interests. Stakeholders such as employees, customers, local community, are mostly considered in firms’ non-financial information [5]. Despite the growing importance of ESG metrics for investment and regulation, there is a limited understanding of the determinants of social disclosure quality, especially in emerging markets. </w:t>
      </w:r>
    </w:p>
    <w:p w14:paraId="6C84C64E" w14:textId="77777777" w:rsidR="00BA00A7" w:rsidRPr="00BA00A7" w:rsidRDefault="00BA00A7" w:rsidP="009B7FFE">
      <w:pPr>
        <w:pStyle w:val="ac"/>
        <w:spacing w:line="276" w:lineRule="auto"/>
        <w:jc w:val="both"/>
        <w:rPr>
          <w:rFonts w:ascii="Times New Roman" w:hAnsi="Times New Roman" w:cs="Times New Roman"/>
        </w:rPr>
      </w:pPr>
      <w:r w:rsidRPr="00BA00A7">
        <w:rPr>
          <w:rFonts w:ascii="Times New Roman" w:hAnsi="Times New Roman" w:cs="Times New Roman"/>
        </w:rPr>
        <w:t>This study explores the determinants of the quality of social disclosures among listed non-financial firms in Nigeria. The study tests how firm attributes (size, performance, debt, growth) and board characteristics (meeting, size, independence, assurance) influence the credibility of social information. With 988 firm observations, the robust fixed effect results revealed that firm and board characteristics influence the extent of social disclosure in Nigerian firms. Profitability (</w:t>
      </w:r>
      <w:proofErr w:type="spellStart"/>
      <w:r w:rsidRPr="00BA00A7">
        <w:rPr>
          <w:rFonts w:ascii="Times New Roman" w:hAnsi="Times New Roman" w:cs="Times New Roman"/>
        </w:rPr>
        <w:t>coeff</w:t>
      </w:r>
      <w:proofErr w:type="spellEnd"/>
      <w:r w:rsidRPr="00BA00A7">
        <w:rPr>
          <w:rFonts w:ascii="Times New Roman" w:hAnsi="Times New Roman" w:cs="Times New Roman"/>
        </w:rPr>
        <w:t xml:space="preserve">: -0.9056; </w:t>
      </w:r>
      <w:proofErr w:type="spellStart"/>
      <w:r w:rsidRPr="00BA00A7">
        <w:rPr>
          <w:rFonts w:ascii="Times New Roman" w:hAnsi="Times New Roman" w:cs="Times New Roman"/>
        </w:rPr>
        <w:t>p.val</w:t>
      </w:r>
      <w:proofErr w:type="spellEnd"/>
      <w:r w:rsidRPr="00BA00A7">
        <w:rPr>
          <w:rFonts w:ascii="Times New Roman" w:hAnsi="Times New Roman" w:cs="Times New Roman"/>
        </w:rPr>
        <w:t xml:space="preserve">: 0.000&lt;0.0001) and leverage (-0.0027; </w:t>
      </w:r>
      <w:proofErr w:type="spellStart"/>
      <w:r w:rsidRPr="00BA00A7">
        <w:rPr>
          <w:rFonts w:ascii="Times New Roman" w:hAnsi="Times New Roman" w:cs="Times New Roman"/>
        </w:rPr>
        <w:t>p.val</w:t>
      </w:r>
      <w:proofErr w:type="spellEnd"/>
      <w:r w:rsidRPr="00BA00A7">
        <w:rPr>
          <w:rFonts w:ascii="Times New Roman" w:hAnsi="Times New Roman" w:cs="Times New Roman"/>
        </w:rPr>
        <w:t>: 0.005&lt;0.01) are negatively associated with social disclosure, suggesting that financially stronger firms may rely less on voluntary social reporting for legitimacy, while highly leveraged firms may face resource constraints that limit disclosure activities. In contrast, firm growth (</w:t>
      </w:r>
      <w:proofErr w:type="spellStart"/>
      <w:r w:rsidRPr="00BA00A7">
        <w:rPr>
          <w:rFonts w:ascii="Times New Roman" w:hAnsi="Times New Roman" w:cs="Times New Roman"/>
        </w:rPr>
        <w:t>coeff</w:t>
      </w:r>
      <w:proofErr w:type="spellEnd"/>
      <w:r w:rsidRPr="00BA00A7">
        <w:rPr>
          <w:rFonts w:ascii="Times New Roman" w:hAnsi="Times New Roman" w:cs="Times New Roman"/>
        </w:rPr>
        <w:t xml:space="preserve">: 0.1582; </w:t>
      </w:r>
      <w:proofErr w:type="spellStart"/>
      <w:r w:rsidRPr="00BA00A7">
        <w:rPr>
          <w:rFonts w:ascii="Times New Roman" w:hAnsi="Times New Roman" w:cs="Times New Roman"/>
        </w:rPr>
        <w:t>p.val</w:t>
      </w:r>
      <w:proofErr w:type="spellEnd"/>
      <w:r w:rsidRPr="00BA00A7">
        <w:rPr>
          <w:rFonts w:ascii="Times New Roman" w:hAnsi="Times New Roman" w:cs="Times New Roman"/>
        </w:rPr>
        <w:t>: 0.002&lt;0.01) and sustainability report assurance (</w:t>
      </w:r>
      <w:proofErr w:type="spellStart"/>
      <w:r w:rsidRPr="00BA00A7">
        <w:rPr>
          <w:rFonts w:ascii="Times New Roman" w:hAnsi="Times New Roman" w:cs="Times New Roman"/>
        </w:rPr>
        <w:t>coeff</w:t>
      </w:r>
      <w:proofErr w:type="spellEnd"/>
      <w:r w:rsidRPr="00BA00A7">
        <w:rPr>
          <w:rFonts w:ascii="Times New Roman" w:hAnsi="Times New Roman" w:cs="Times New Roman"/>
        </w:rPr>
        <w:t xml:space="preserve">: 0.5557; </w:t>
      </w:r>
      <w:proofErr w:type="spellStart"/>
      <w:r w:rsidRPr="00BA00A7">
        <w:rPr>
          <w:rFonts w:ascii="Times New Roman" w:hAnsi="Times New Roman" w:cs="Times New Roman"/>
        </w:rPr>
        <w:t>p.val</w:t>
      </w:r>
      <w:proofErr w:type="spellEnd"/>
      <w:r w:rsidRPr="00BA00A7">
        <w:rPr>
          <w:rFonts w:ascii="Times New Roman" w:hAnsi="Times New Roman" w:cs="Times New Roman"/>
        </w:rPr>
        <w:t xml:space="preserve">: 0.024&lt;0.05) positively influence social disclosure, indicating that growing firms and those subject to external verification exhibit stronger transparency commitments. Institutional ownership (coeff:1.2351; </w:t>
      </w:r>
      <w:proofErr w:type="spellStart"/>
      <w:r w:rsidRPr="00BA00A7">
        <w:rPr>
          <w:rFonts w:ascii="Times New Roman" w:hAnsi="Times New Roman" w:cs="Times New Roman"/>
        </w:rPr>
        <w:t>p.val</w:t>
      </w:r>
      <w:proofErr w:type="spellEnd"/>
      <w:r w:rsidRPr="00BA00A7">
        <w:rPr>
          <w:rFonts w:ascii="Times New Roman" w:hAnsi="Times New Roman" w:cs="Times New Roman"/>
        </w:rPr>
        <w:t>: 0.073&lt;0.1) shows a positive association with social disclosure, implying that institutional investors play a monitoring role that encourages improved ESG transparency. However, board independence (</w:t>
      </w:r>
      <w:proofErr w:type="spellStart"/>
      <w:r w:rsidRPr="00BA00A7">
        <w:rPr>
          <w:rFonts w:ascii="Times New Roman" w:hAnsi="Times New Roman" w:cs="Times New Roman"/>
        </w:rPr>
        <w:t>coeff</w:t>
      </w:r>
      <w:proofErr w:type="spellEnd"/>
      <w:r w:rsidRPr="00BA00A7">
        <w:rPr>
          <w:rFonts w:ascii="Times New Roman" w:hAnsi="Times New Roman" w:cs="Times New Roman"/>
        </w:rPr>
        <w:t xml:space="preserve">: 1.2351; </w:t>
      </w:r>
      <w:proofErr w:type="spellStart"/>
      <w:r w:rsidRPr="00BA00A7">
        <w:rPr>
          <w:rFonts w:ascii="Times New Roman" w:hAnsi="Times New Roman" w:cs="Times New Roman"/>
        </w:rPr>
        <w:t>p.val</w:t>
      </w:r>
      <w:proofErr w:type="spellEnd"/>
      <w:r w:rsidRPr="00BA00A7">
        <w:rPr>
          <w:rFonts w:ascii="Times New Roman" w:hAnsi="Times New Roman" w:cs="Times New Roman"/>
        </w:rPr>
        <w:t>: 0.145&gt;0.1), firm size (</w:t>
      </w:r>
      <w:proofErr w:type="spellStart"/>
      <w:r w:rsidRPr="00BA00A7">
        <w:rPr>
          <w:rFonts w:ascii="Times New Roman" w:hAnsi="Times New Roman" w:cs="Times New Roman"/>
        </w:rPr>
        <w:t>coeff</w:t>
      </w:r>
      <w:proofErr w:type="spellEnd"/>
      <w:r w:rsidRPr="00BA00A7">
        <w:rPr>
          <w:rFonts w:ascii="Times New Roman" w:hAnsi="Times New Roman" w:cs="Times New Roman"/>
        </w:rPr>
        <w:t xml:space="preserve">: 0.4085; </w:t>
      </w:r>
      <w:proofErr w:type="spellStart"/>
      <w:r w:rsidRPr="00BA00A7">
        <w:rPr>
          <w:rFonts w:ascii="Times New Roman" w:hAnsi="Times New Roman" w:cs="Times New Roman"/>
        </w:rPr>
        <w:t>p.val</w:t>
      </w:r>
      <w:proofErr w:type="spellEnd"/>
      <w:r w:rsidRPr="00BA00A7">
        <w:rPr>
          <w:rFonts w:ascii="Times New Roman" w:hAnsi="Times New Roman" w:cs="Times New Roman"/>
        </w:rPr>
        <w:t>: 0111&gt;0.1) and block ownership (</w:t>
      </w:r>
      <w:proofErr w:type="spellStart"/>
      <w:r w:rsidRPr="00BA00A7">
        <w:rPr>
          <w:rFonts w:ascii="Times New Roman" w:hAnsi="Times New Roman" w:cs="Times New Roman"/>
        </w:rPr>
        <w:t>coeff</w:t>
      </w:r>
      <w:proofErr w:type="spellEnd"/>
      <w:r w:rsidRPr="00BA00A7">
        <w:rPr>
          <w:rFonts w:ascii="Times New Roman" w:hAnsi="Times New Roman" w:cs="Times New Roman"/>
        </w:rPr>
        <w:t xml:space="preserve">: 0.8379; </w:t>
      </w:r>
      <w:proofErr w:type="spellStart"/>
      <w:r w:rsidRPr="00BA00A7">
        <w:rPr>
          <w:rFonts w:ascii="Times New Roman" w:hAnsi="Times New Roman" w:cs="Times New Roman"/>
        </w:rPr>
        <w:t>p.val</w:t>
      </w:r>
      <w:proofErr w:type="spellEnd"/>
      <w:r w:rsidRPr="00BA00A7">
        <w:rPr>
          <w:rFonts w:ascii="Times New Roman" w:hAnsi="Times New Roman" w:cs="Times New Roman"/>
        </w:rPr>
        <w:t xml:space="preserve">: 0.245&gt;0.1) do not significantly influence social disclosure in the sample, highlighting the limited role of certain governance mechanisms in shaping ESG </w:t>
      </w:r>
      <w:r w:rsidRPr="00BA00A7">
        <w:rPr>
          <w:rFonts w:ascii="Times New Roman" w:hAnsi="Times New Roman" w:cs="Times New Roman"/>
        </w:rPr>
        <w:lastRenderedPageBreak/>
        <w:t>reporting practices within the Nigeria context. The findings advance theory on governance and disclosure and provide actionable insights for regulators and investors in frontier markets.</w:t>
      </w:r>
    </w:p>
    <w:p w14:paraId="3CB88716" w14:textId="77777777" w:rsidR="00BA00A7" w:rsidRPr="00BA00A7" w:rsidRDefault="00BA00A7" w:rsidP="00BA00A7">
      <w:pPr>
        <w:pStyle w:val="ac"/>
        <w:spacing w:line="276" w:lineRule="auto"/>
        <w:jc w:val="both"/>
        <w:rPr>
          <w:rFonts w:ascii="Times New Roman" w:hAnsi="Times New Roman" w:cs="Times New Roman"/>
        </w:rPr>
      </w:pPr>
    </w:p>
    <w:p w14:paraId="0E232E70" w14:textId="77777777" w:rsidR="00BA00A7" w:rsidRPr="00BA00A7" w:rsidRDefault="00BA00A7" w:rsidP="00B85FBA">
      <w:pPr>
        <w:pStyle w:val="ac"/>
        <w:spacing w:line="276" w:lineRule="auto"/>
        <w:jc w:val="center"/>
        <w:rPr>
          <w:rFonts w:ascii="Times New Roman" w:hAnsi="Times New Roman" w:cs="Times New Roman"/>
          <w:b/>
          <w:bCs/>
        </w:rPr>
      </w:pPr>
      <w:r w:rsidRPr="00BA00A7">
        <w:rPr>
          <w:rFonts w:ascii="Times New Roman" w:hAnsi="Times New Roman" w:cs="Times New Roman"/>
          <w:b/>
          <w:bCs/>
        </w:rPr>
        <w:t>References</w:t>
      </w:r>
    </w:p>
    <w:p w14:paraId="3F790613" w14:textId="77777777" w:rsidR="00AE0884" w:rsidRPr="00BA00A7" w:rsidRDefault="00AE0884" w:rsidP="00F255F0">
      <w:pPr>
        <w:pStyle w:val="ac"/>
        <w:numPr>
          <w:ilvl w:val="0"/>
          <w:numId w:val="1"/>
        </w:numPr>
        <w:spacing w:line="276" w:lineRule="auto"/>
        <w:jc w:val="both"/>
        <w:rPr>
          <w:rFonts w:ascii="Times New Roman" w:hAnsi="Times New Roman" w:cs="Times New Roman"/>
        </w:rPr>
      </w:pPr>
      <w:proofErr w:type="spellStart"/>
      <w:r w:rsidRPr="00BA00A7">
        <w:rPr>
          <w:rFonts w:ascii="Times New Roman" w:hAnsi="Times New Roman" w:cs="Times New Roman"/>
        </w:rPr>
        <w:t>Herriott</w:t>
      </w:r>
      <w:proofErr w:type="spellEnd"/>
      <w:r w:rsidRPr="00BA00A7">
        <w:rPr>
          <w:rFonts w:ascii="Times New Roman" w:hAnsi="Times New Roman" w:cs="Times New Roman"/>
        </w:rPr>
        <w:t xml:space="preserve"> S.R. Metrics for sustainable business: Measures and standards for the assessment of organizations. Routledge, New York, 2016.</w:t>
      </w:r>
    </w:p>
    <w:p w14:paraId="20EAD8E0" w14:textId="77777777" w:rsidR="00AE0884" w:rsidRPr="00BA00A7" w:rsidRDefault="00AE0884" w:rsidP="00F255F0">
      <w:pPr>
        <w:pStyle w:val="ac"/>
        <w:numPr>
          <w:ilvl w:val="0"/>
          <w:numId w:val="1"/>
        </w:numPr>
        <w:spacing w:line="276" w:lineRule="auto"/>
        <w:jc w:val="both"/>
        <w:rPr>
          <w:rFonts w:ascii="Times New Roman" w:hAnsi="Times New Roman" w:cs="Times New Roman"/>
        </w:rPr>
      </w:pPr>
      <w:r w:rsidRPr="00BA00A7">
        <w:rPr>
          <w:rFonts w:ascii="Times New Roman" w:hAnsi="Times New Roman" w:cs="Times New Roman"/>
        </w:rPr>
        <w:t>Hut X. Do socially responsible investors affect price informativeness? 2025. //Available at SSRN 4965838.</w:t>
      </w:r>
    </w:p>
    <w:p w14:paraId="6C8ED846" w14:textId="77777777" w:rsidR="00AE0884" w:rsidRPr="00BA00A7" w:rsidRDefault="00AE0884" w:rsidP="00F255F0">
      <w:pPr>
        <w:pStyle w:val="ac"/>
        <w:numPr>
          <w:ilvl w:val="0"/>
          <w:numId w:val="1"/>
        </w:numPr>
        <w:spacing w:line="276" w:lineRule="auto"/>
        <w:jc w:val="both"/>
        <w:rPr>
          <w:rFonts w:ascii="Times New Roman" w:hAnsi="Times New Roman" w:cs="Times New Roman"/>
        </w:rPr>
      </w:pPr>
      <w:r w:rsidRPr="00BA00A7">
        <w:rPr>
          <w:rFonts w:ascii="Times New Roman" w:hAnsi="Times New Roman" w:cs="Times New Roman"/>
        </w:rPr>
        <w:t>Maas K.E.H., Vermeulen M. C. A systemic view on the impacts of regulating non-financial reporting. 2016. //Erasmus School of Economics: Rotterdam, The Netherlands.</w:t>
      </w:r>
    </w:p>
    <w:p w14:paraId="3F0BD989" w14:textId="77777777" w:rsidR="00AE0884" w:rsidRPr="00BA00A7" w:rsidRDefault="00AE0884" w:rsidP="00F255F0">
      <w:pPr>
        <w:pStyle w:val="ac"/>
        <w:numPr>
          <w:ilvl w:val="0"/>
          <w:numId w:val="1"/>
        </w:numPr>
        <w:spacing w:line="276" w:lineRule="auto"/>
        <w:jc w:val="both"/>
        <w:rPr>
          <w:rFonts w:ascii="Times New Roman" w:hAnsi="Times New Roman" w:cs="Times New Roman"/>
        </w:rPr>
      </w:pPr>
      <w:proofErr w:type="spellStart"/>
      <w:r w:rsidRPr="00BA00A7">
        <w:rPr>
          <w:rFonts w:ascii="Times New Roman" w:hAnsi="Times New Roman" w:cs="Times New Roman"/>
        </w:rPr>
        <w:t>Peršić</w:t>
      </w:r>
      <w:proofErr w:type="spellEnd"/>
      <w:r w:rsidRPr="00BA00A7">
        <w:rPr>
          <w:rFonts w:ascii="Times New Roman" w:hAnsi="Times New Roman" w:cs="Times New Roman"/>
        </w:rPr>
        <w:t xml:space="preserve"> M., </w:t>
      </w:r>
      <w:proofErr w:type="spellStart"/>
      <w:r w:rsidRPr="00BA00A7">
        <w:rPr>
          <w:rFonts w:ascii="Times New Roman" w:hAnsi="Times New Roman" w:cs="Times New Roman"/>
        </w:rPr>
        <w:t>Lahorka</w:t>
      </w:r>
      <w:proofErr w:type="spellEnd"/>
      <w:r w:rsidRPr="00BA00A7">
        <w:rPr>
          <w:rFonts w:ascii="Times New Roman" w:hAnsi="Times New Roman" w:cs="Times New Roman"/>
        </w:rPr>
        <w:t xml:space="preserve"> H. Exploring the quality of social information disclosed in non-financial reports of Croatian companies // </w:t>
      </w:r>
      <w:r w:rsidRPr="00BA00A7">
        <w:rPr>
          <w:rFonts w:ascii="Times New Roman" w:hAnsi="Times New Roman" w:cs="Times New Roman"/>
          <w:i/>
          <w:iCs/>
        </w:rPr>
        <w:t xml:space="preserve">Economic Research </w:t>
      </w:r>
      <w:proofErr w:type="spellStart"/>
      <w:r w:rsidRPr="00BA00A7">
        <w:rPr>
          <w:rFonts w:ascii="Times New Roman" w:hAnsi="Times New Roman" w:cs="Times New Roman"/>
          <w:i/>
          <w:iCs/>
        </w:rPr>
        <w:t>Ekonomska</w:t>
      </w:r>
      <w:proofErr w:type="spellEnd"/>
      <w:r w:rsidRPr="00BA00A7">
        <w:rPr>
          <w:rFonts w:ascii="Times New Roman" w:hAnsi="Times New Roman" w:cs="Times New Roman"/>
          <w:i/>
          <w:iCs/>
        </w:rPr>
        <w:t xml:space="preserve"> </w:t>
      </w:r>
      <w:proofErr w:type="spellStart"/>
      <w:r w:rsidRPr="00BA00A7">
        <w:rPr>
          <w:rFonts w:ascii="Times New Roman" w:hAnsi="Times New Roman" w:cs="Times New Roman"/>
          <w:i/>
          <w:iCs/>
        </w:rPr>
        <w:t>Istraživanja</w:t>
      </w:r>
      <w:proofErr w:type="spellEnd"/>
      <w:r w:rsidRPr="00BA00A7">
        <w:rPr>
          <w:rFonts w:ascii="Times New Roman" w:hAnsi="Times New Roman" w:cs="Times New Roman"/>
        </w:rPr>
        <w:t>, 2018. Vol. 31 No. 1, P. 2024-2043. DOI: 10.1080/1331677X.2018.1480968</w:t>
      </w:r>
    </w:p>
    <w:p w14:paraId="44A52A05" w14:textId="77777777" w:rsidR="00AE0884" w:rsidRPr="00BA00A7" w:rsidRDefault="00AE0884" w:rsidP="00F255F0">
      <w:pPr>
        <w:pStyle w:val="ac"/>
        <w:numPr>
          <w:ilvl w:val="0"/>
          <w:numId w:val="1"/>
        </w:numPr>
        <w:spacing w:line="276" w:lineRule="auto"/>
        <w:jc w:val="both"/>
        <w:rPr>
          <w:rFonts w:ascii="Times New Roman" w:hAnsi="Times New Roman" w:cs="Times New Roman"/>
        </w:rPr>
      </w:pPr>
      <w:proofErr w:type="spellStart"/>
      <w:r w:rsidRPr="00BA00A7">
        <w:rPr>
          <w:rFonts w:ascii="Times New Roman" w:hAnsi="Times New Roman" w:cs="Times New Roman"/>
        </w:rPr>
        <w:t>Seifzadeh</w:t>
      </w:r>
      <w:proofErr w:type="spellEnd"/>
      <w:r w:rsidRPr="00BA00A7">
        <w:rPr>
          <w:rFonts w:ascii="Times New Roman" w:hAnsi="Times New Roman" w:cs="Times New Roman"/>
        </w:rPr>
        <w:t xml:space="preserve"> M., Salehi M., </w:t>
      </w:r>
      <w:proofErr w:type="spellStart"/>
      <w:r w:rsidRPr="00BA00A7">
        <w:rPr>
          <w:rFonts w:ascii="Times New Roman" w:hAnsi="Times New Roman" w:cs="Times New Roman"/>
        </w:rPr>
        <w:t>Abedini</w:t>
      </w:r>
      <w:proofErr w:type="spellEnd"/>
      <w:r w:rsidRPr="00BA00A7">
        <w:rPr>
          <w:rFonts w:ascii="Times New Roman" w:hAnsi="Times New Roman" w:cs="Times New Roman"/>
        </w:rPr>
        <w:t xml:space="preserve"> B., </w:t>
      </w:r>
      <w:proofErr w:type="spellStart"/>
      <w:r w:rsidRPr="00BA00A7">
        <w:rPr>
          <w:rFonts w:ascii="Times New Roman" w:hAnsi="Times New Roman" w:cs="Times New Roman"/>
        </w:rPr>
        <w:t>Ranjbar</w:t>
      </w:r>
      <w:proofErr w:type="spellEnd"/>
      <w:r w:rsidRPr="00BA00A7">
        <w:rPr>
          <w:rFonts w:ascii="Times New Roman" w:hAnsi="Times New Roman" w:cs="Times New Roman"/>
        </w:rPr>
        <w:t xml:space="preserve"> M. H. The relationship between management characteristics and financial statement readability // </w:t>
      </w:r>
      <w:proofErr w:type="spellStart"/>
      <w:r w:rsidRPr="00BA00A7">
        <w:rPr>
          <w:rFonts w:ascii="Times New Roman" w:hAnsi="Times New Roman" w:cs="Times New Roman"/>
          <w:i/>
          <w:iCs/>
        </w:rPr>
        <w:t>EuroMed</w:t>
      </w:r>
      <w:proofErr w:type="spellEnd"/>
      <w:r w:rsidRPr="00BA00A7">
        <w:rPr>
          <w:rFonts w:ascii="Times New Roman" w:hAnsi="Times New Roman" w:cs="Times New Roman"/>
          <w:i/>
          <w:iCs/>
        </w:rPr>
        <w:t xml:space="preserve"> Journal of Business</w:t>
      </w:r>
      <w:r w:rsidRPr="00BA00A7">
        <w:rPr>
          <w:rFonts w:ascii="Times New Roman" w:hAnsi="Times New Roman" w:cs="Times New Roman"/>
        </w:rPr>
        <w:t>, 2020. Vol.  16. No. 1. Pp. 108-126.  https://doi.org/10.1108/EMJB-12-2019-0146</w:t>
      </w:r>
    </w:p>
    <w:p w14:paraId="64A3877F" w14:textId="77777777" w:rsidR="00B63C8A" w:rsidRPr="00BA00A7" w:rsidRDefault="00B63C8A" w:rsidP="00BA00A7">
      <w:pPr>
        <w:pStyle w:val="ac"/>
        <w:spacing w:line="276" w:lineRule="auto"/>
        <w:jc w:val="both"/>
        <w:rPr>
          <w:rFonts w:ascii="Times New Roman" w:hAnsi="Times New Roman" w:cs="Times New Roman"/>
        </w:rPr>
      </w:pPr>
    </w:p>
    <w:sectPr w:rsidR="00B63C8A" w:rsidRPr="00BA00A7" w:rsidSect="005D2326">
      <w:headerReference w:type="default" r:id="rId8"/>
      <w:footerReference w:type="default" r:id="rId9"/>
      <w:pgSz w:w="11906" w:h="16838" w:code="9"/>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512F6" w14:textId="77777777" w:rsidR="00567344" w:rsidRDefault="00567344" w:rsidP="00BA00A7">
      <w:pPr>
        <w:spacing w:after="0" w:line="240" w:lineRule="auto"/>
      </w:pPr>
      <w:r>
        <w:separator/>
      </w:r>
    </w:p>
  </w:endnote>
  <w:endnote w:type="continuationSeparator" w:id="0">
    <w:p w14:paraId="1A80A751" w14:textId="77777777" w:rsidR="00567344" w:rsidRDefault="00567344" w:rsidP="00BA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413293"/>
      <w:docPartObj>
        <w:docPartGallery w:val="Page Numbers (Bottom of Page)"/>
        <w:docPartUnique/>
      </w:docPartObj>
    </w:sdtPr>
    <w:sdtEndPr>
      <w:rPr>
        <w:noProof/>
      </w:rPr>
    </w:sdtEndPr>
    <w:sdtContent>
      <w:p w14:paraId="088383C9" w14:textId="58154758" w:rsidR="00BA00A7" w:rsidRDefault="00BA00A7">
        <w:pPr>
          <w:pStyle w:val="af"/>
          <w:jc w:val="center"/>
        </w:pPr>
        <w:r>
          <w:fldChar w:fldCharType="begin"/>
        </w:r>
        <w:r>
          <w:instrText xml:space="preserve"> PAGE   \* MERGEFORMAT </w:instrText>
        </w:r>
        <w:r>
          <w:fldChar w:fldCharType="separate"/>
        </w:r>
        <w:r>
          <w:rPr>
            <w:noProof/>
          </w:rPr>
          <w:t>2</w:t>
        </w:r>
        <w:r>
          <w:rPr>
            <w:noProof/>
          </w:rPr>
          <w:fldChar w:fldCharType="end"/>
        </w:r>
      </w:p>
    </w:sdtContent>
  </w:sdt>
  <w:p w14:paraId="381B27BB" w14:textId="77777777" w:rsidR="00BA00A7" w:rsidRDefault="00BA00A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DE320" w14:textId="77777777" w:rsidR="00567344" w:rsidRDefault="00567344" w:rsidP="00BA00A7">
      <w:pPr>
        <w:spacing w:after="0" w:line="240" w:lineRule="auto"/>
      </w:pPr>
      <w:r>
        <w:separator/>
      </w:r>
    </w:p>
  </w:footnote>
  <w:footnote w:type="continuationSeparator" w:id="0">
    <w:p w14:paraId="5B85480A" w14:textId="77777777" w:rsidR="00567344" w:rsidRDefault="00567344" w:rsidP="00BA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6032" w14:textId="5346AE06" w:rsidR="00562948" w:rsidRPr="00562948" w:rsidRDefault="00562948" w:rsidP="00562948">
    <w:pPr>
      <w:tabs>
        <w:tab w:val="left" w:pos="5670"/>
      </w:tabs>
      <w:spacing w:after="120" w:line="240" w:lineRule="auto"/>
      <w:rPr>
        <w:rFonts w:ascii="Times New Roman" w:eastAsia="Aptos"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7E8"/>
    <w:multiLevelType w:val="hybridMultilevel"/>
    <w:tmpl w:val="4EA452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B2A54"/>
    <w:multiLevelType w:val="hybridMultilevel"/>
    <w:tmpl w:val="A218E98C"/>
    <w:lvl w:ilvl="0" w:tplc="0802784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A7"/>
    <w:rsid w:val="002E5DC7"/>
    <w:rsid w:val="003C7C34"/>
    <w:rsid w:val="00461634"/>
    <w:rsid w:val="004803D5"/>
    <w:rsid w:val="00562948"/>
    <w:rsid w:val="00567344"/>
    <w:rsid w:val="005D2326"/>
    <w:rsid w:val="0068516B"/>
    <w:rsid w:val="0073033C"/>
    <w:rsid w:val="007B7287"/>
    <w:rsid w:val="00957EDA"/>
    <w:rsid w:val="009B7FFE"/>
    <w:rsid w:val="00A736B7"/>
    <w:rsid w:val="00AE0884"/>
    <w:rsid w:val="00B63C8A"/>
    <w:rsid w:val="00B85FBA"/>
    <w:rsid w:val="00B91652"/>
    <w:rsid w:val="00BA00A7"/>
    <w:rsid w:val="00C73A5F"/>
    <w:rsid w:val="00C810BF"/>
    <w:rsid w:val="00D82A86"/>
    <w:rsid w:val="00DD30B8"/>
    <w:rsid w:val="00E94AB7"/>
    <w:rsid w:val="00EC0C10"/>
    <w:rsid w:val="00EC2C62"/>
    <w:rsid w:val="00F01A0C"/>
    <w:rsid w:val="00F2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920C"/>
  <w15:chartTrackingRefBased/>
  <w15:docId w15:val="{0B4BEEA2-ABB8-40CE-9BC2-3B35A941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BA0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A0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A00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A00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A00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00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00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00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00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0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A00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A00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A00A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A00A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A00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00A7"/>
    <w:rPr>
      <w:rFonts w:eastAsiaTheme="majorEastAsia" w:cstheme="majorBidi"/>
      <w:color w:val="595959" w:themeColor="text1" w:themeTint="A6"/>
    </w:rPr>
  </w:style>
  <w:style w:type="character" w:customStyle="1" w:styleId="80">
    <w:name w:val="Заголовок 8 Знак"/>
    <w:basedOn w:val="a0"/>
    <w:link w:val="8"/>
    <w:uiPriority w:val="9"/>
    <w:semiHidden/>
    <w:rsid w:val="00BA00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00A7"/>
    <w:rPr>
      <w:rFonts w:eastAsiaTheme="majorEastAsia" w:cstheme="majorBidi"/>
      <w:color w:val="272727" w:themeColor="text1" w:themeTint="D8"/>
    </w:rPr>
  </w:style>
  <w:style w:type="paragraph" w:styleId="a3">
    <w:name w:val="Title"/>
    <w:basedOn w:val="a"/>
    <w:next w:val="a"/>
    <w:link w:val="a4"/>
    <w:uiPriority w:val="10"/>
    <w:qFormat/>
    <w:rsid w:val="00BA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0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0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00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00A7"/>
    <w:pPr>
      <w:spacing w:before="160"/>
      <w:jc w:val="center"/>
    </w:pPr>
    <w:rPr>
      <w:i/>
      <w:iCs/>
      <w:color w:val="404040" w:themeColor="text1" w:themeTint="BF"/>
    </w:rPr>
  </w:style>
  <w:style w:type="character" w:customStyle="1" w:styleId="22">
    <w:name w:val="Цитата 2 Знак"/>
    <w:basedOn w:val="a0"/>
    <w:link w:val="21"/>
    <w:uiPriority w:val="29"/>
    <w:rsid w:val="00BA00A7"/>
    <w:rPr>
      <w:i/>
      <w:iCs/>
      <w:color w:val="404040" w:themeColor="text1" w:themeTint="BF"/>
    </w:rPr>
  </w:style>
  <w:style w:type="paragraph" w:styleId="a7">
    <w:name w:val="List Paragraph"/>
    <w:basedOn w:val="a"/>
    <w:uiPriority w:val="34"/>
    <w:qFormat/>
    <w:rsid w:val="00BA00A7"/>
    <w:pPr>
      <w:ind w:left="720"/>
      <w:contextualSpacing/>
    </w:pPr>
  </w:style>
  <w:style w:type="character" w:styleId="a8">
    <w:name w:val="Intense Emphasis"/>
    <w:basedOn w:val="a0"/>
    <w:uiPriority w:val="21"/>
    <w:qFormat/>
    <w:rsid w:val="00BA00A7"/>
    <w:rPr>
      <w:i/>
      <w:iCs/>
      <w:color w:val="0F4761" w:themeColor="accent1" w:themeShade="BF"/>
    </w:rPr>
  </w:style>
  <w:style w:type="paragraph" w:styleId="a9">
    <w:name w:val="Intense Quote"/>
    <w:basedOn w:val="a"/>
    <w:next w:val="a"/>
    <w:link w:val="aa"/>
    <w:uiPriority w:val="30"/>
    <w:qFormat/>
    <w:rsid w:val="00BA0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A00A7"/>
    <w:rPr>
      <w:i/>
      <w:iCs/>
      <w:color w:val="0F4761" w:themeColor="accent1" w:themeShade="BF"/>
    </w:rPr>
  </w:style>
  <w:style w:type="character" w:styleId="ab">
    <w:name w:val="Intense Reference"/>
    <w:basedOn w:val="a0"/>
    <w:uiPriority w:val="32"/>
    <w:qFormat/>
    <w:rsid w:val="00BA00A7"/>
    <w:rPr>
      <w:b/>
      <w:bCs/>
      <w:smallCaps/>
      <w:color w:val="0F4761" w:themeColor="accent1" w:themeShade="BF"/>
      <w:spacing w:val="5"/>
    </w:rPr>
  </w:style>
  <w:style w:type="paragraph" w:styleId="ac">
    <w:name w:val="No Spacing"/>
    <w:uiPriority w:val="1"/>
    <w:qFormat/>
    <w:rsid w:val="00BA00A7"/>
    <w:pPr>
      <w:spacing w:after="0" w:line="240" w:lineRule="auto"/>
    </w:pPr>
  </w:style>
  <w:style w:type="paragraph" w:styleId="ad">
    <w:name w:val="header"/>
    <w:basedOn w:val="a"/>
    <w:link w:val="ae"/>
    <w:uiPriority w:val="99"/>
    <w:unhideWhenUsed/>
    <w:rsid w:val="00BA00A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A00A7"/>
  </w:style>
  <w:style w:type="paragraph" w:styleId="af">
    <w:name w:val="footer"/>
    <w:basedOn w:val="a"/>
    <w:link w:val="af0"/>
    <w:uiPriority w:val="99"/>
    <w:unhideWhenUsed/>
    <w:rsid w:val="00BA00A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A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748E8-EB5D-4940-95A7-FD938679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762</Words>
  <Characters>4345</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Titilope Olorede</dc:creator>
  <cp:keywords/>
  <dc:description/>
  <cp:lastModifiedBy>Данилкина Мария</cp:lastModifiedBy>
  <cp:revision>16</cp:revision>
  <dcterms:created xsi:type="dcterms:W3CDTF">2026-03-08T19:05:00Z</dcterms:created>
  <dcterms:modified xsi:type="dcterms:W3CDTF">2026-05-12T08:58:00Z</dcterms:modified>
</cp:coreProperties>
</file>